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302"/>
        <w:rPr>
          <w:rFonts w:eastAsia="楷体_GB2312"/>
          <w:sz w:val="28"/>
        </w:rPr>
      </w:pPr>
    </w:p>
    <w:p>
      <w:pPr>
        <w:ind w:right="-1302"/>
        <w:rPr>
          <w:rFonts w:eastAsia="楷体_GB2312"/>
          <w:sz w:val="28"/>
        </w:rPr>
      </w:pPr>
    </w:p>
    <w:p>
      <w:pPr>
        <w:ind w:firstLine="480" w:firstLineChars="200"/>
        <w:rPr>
          <w:rFonts w:eastAsia="昆仑黑体"/>
          <w:sz w:val="24"/>
        </w:rPr>
      </w:pPr>
    </w:p>
    <w:p>
      <w:pPr>
        <w:jc w:val="center"/>
        <w:outlineLvl w:val="0"/>
        <w:rPr>
          <w:rFonts w:ascii="方正小标宋简体" w:eastAsia="方正小标宋简体"/>
          <w:b/>
          <w:bCs/>
          <w:sz w:val="52"/>
          <w:szCs w:val="52"/>
        </w:rPr>
      </w:pPr>
    </w:p>
    <w:p>
      <w:pPr>
        <w:jc w:val="center"/>
        <w:outlineLvl w:val="0"/>
        <w:rPr>
          <w:rFonts w:ascii="方正小标宋简体" w:eastAsia="方正小标宋简体"/>
          <w:b/>
          <w:bCs/>
          <w:sz w:val="52"/>
          <w:szCs w:val="52"/>
        </w:rPr>
      </w:pPr>
      <w:r>
        <w:rPr>
          <w:rFonts w:hint="eastAsia" w:ascii="方正小标宋简体" w:eastAsia="方正小标宋简体"/>
          <w:b/>
          <w:bCs/>
          <w:sz w:val="52"/>
          <w:szCs w:val="52"/>
        </w:rPr>
        <w:t>学位授权点建设年度报告</w:t>
      </w:r>
    </w:p>
    <w:p>
      <w:pPr>
        <w:jc w:val="center"/>
        <w:rPr>
          <w:sz w:val="32"/>
          <w:szCs w:val="32"/>
        </w:rPr>
      </w:pPr>
      <w:r>
        <w:rPr>
          <w:rFonts w:hint="eastAsia"/>
          <w:sz w:val="32"/>
          <w:szCs w:val="32"/>
        </w:rPr>
        <w:t>（2021年）</w:t>
      </w:r>
    </w:p>
    <w:p>
      <w:pPr>
        <w:rPr>
          <w:sz w:val="24"/>
        </w:rPr>
      </w:pPr>
    </w:p>
    <w:p>
      <w:pPr>
        <w:rPr>
          <w:sz w:val="24"/>
        </w:rPr>
      </w:pPr>
    </w:p>
    <w:p>
      <w:pPr>
        <w:rPr>
          <w:sz w:val="24"/>
        </w:rPr>
      </w:pPr>
    </w:p>
    <w:p>
      <w:pPr>
        <w:rPr>
          <w:sz w:val="24"/>
        </w:rPr>
      </w:pPr>
    </w:p>
    <w:tbl>
      <w:tblPr>
        <w:tblStyle w:val="7"/>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983"/>
        <w:gridCol w:w="4767"/>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rPr>
                <w:rFonts w:eastAsia="仿宋_GB2312"/>
                <w:bCs/>
                <w:sz w:val="28"/>
              </w:rPr>
            </w:pPr>
          </w:p>
        </w:tc>
        <w:tc>
          <w:tcPr>
            <w:tcW w:w="4767" w:type="dxa"/>
            <w:tcBorders>
              <w:top w:val="nil"/>
              <w:bottom w:val="nil"/>
            </w:tcBorders>
          </w:tcPr>
          <w:p>
            <w:pPr>
              <w:spacing w:line="400" w:lineRule="exact"/>
              <w:rPr>
                <w:rFonts w:eastAsia="仿宋_GB2312"/>
                <w:bCs/>
                <w:sz w:val="28"/>
              </w:rPr>
            </w:pPr>
            <w:r>
              <w:rPr>
                <w:rFonts w:eastAsia="仿宋_GB2312"/>
                <w:bCs/>
                <w:sz w:val="28"/>
              </w:rPr>
              <w:t>名称:</w:t>
            </w:r>
            <w:r>
              <w:rPr>
                <w:rFonts w:hint="eastAsia"/>
                <w:sz w:val="28"/>
                <w:szCs w:val="28"/>
              </w:rPr>
              <w:t xml:space="preserve"> </w:t>
            </w:r>
            <w:r>
              <w:rPr>
                <w:sz w:val="28"/>
                <w:szCs w:val="28"/>
              </w:rPr>
              <w:t>统计学</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280"/>
              <w:jc w:val="right"/>
              <w:rPr>
                <w:rFonts w:eastAsia="仿宋_GB2312"/>
                <w:bCs/>
                <w:sz w:val="28"/>
              </w:rPr>
            </w:pPr>
            <w:r>
              <w:rPr>
                <w:rFonts w:eastAsia="仿宋_GB2312"/>
                <w:bCs/>
                <w:sz w:val="28"/>
              </w:rPr>
              <w:t>一级学科</w:t>
            </w:r>
            <w:r>
              <w:rPr>
                <w:rFonts w:hint="eastAsia" w:eastAsia="仿宋_GB2312"/>
                <w:bCs/>
                <w:sz w:val="28"/>
              </w:rPr>
              <w:t>（学位类别）</w:t>
            </w:r>
          </w:p>
        </w:tc>
        <w:tc>
          <w:tcPr>
            <w:tcW w:w="4767" w:type="dxa"/>
            <w:tcBorders>
              <w:top w:val="nil"/>
              <w:bottom w:val="nil"/>
            </w:tcBorders>
          </w:tcPr>
          <w:p>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hint="eastAsia" w:eastAsia="仿宋_GB2312"/>
                <w:bCs/>
                <w:sz w:val="28"/>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tcBorders>
          </w:tcPr>
          <w:p>
            <w:pPr>
              <w:spacing w:line="400" w:lineRule="exact"/>
              <w:ind w:right="419"/>
              <w:jc w:val="center"/>
              <w:rPr>
                <w:rFonts w:eastAsia="仿宋_GB2312"/>
                <w:bCs/>
                <w:sz w:val="28"/>
              </w:rPr>
            </w:pPr>
            <w:r>
              <w:rPr>
                <w:rFonts w:hint="eastAsia" w:eastAsia="仿宋_GB2312"/>
                <w:bCs/>
                <w:sz w:val="28"/>
              </w:rPr>
              <w:t>□</w:t>
            </w:r>
            <w:r>
              <w:rPr>
                <w:rFonts w:eastAsia="仿宋_GB2312"/>
                <w:bCs/>
                <w:sz w:val="28"/>
              </w:rPr>
              <w:pict>
                <v:shape id="AutoShape 2" o:spid="_x0000_s2050" o:spt="32" type="#_x0000_t32" style="position:absolute;left:0pt;margin-left:63.45pt;margin-top:1.2pt;height:21pt;width:0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9wHQIAADoEAAAOAAAAZHJzL2Uyb0RvYy54bWysU02P2yAQvVfqf0C+J/6ok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">
                  <v:path arrowok="t"/>
                  <v:fill on="f" focussize="0,0"/>
                  <v:stroke/>
                  <v:imagedata o:title=""/>
                  <o:lock v:ext="edit"/>
                </v:shape>
              </w:pict>
            </w:r>
            <w:r>
              <w:rPr>
                <w:rFonts w:hint="eastAsia" w:eastAsia="仿宋_GB2312"/>
                <w:bCs/>
                <w:sz w:val="28"/>
              </w:rPr>
              <w:t>博   □硕</w:t>
            </w:r>
          </w:p>
        </w:tc>
        <w:tc>
          <w:tcPr>
            <w:tcW w:w="4767" w:type="dxa"/>
            <w:tcBorders>
              <w:top w:val="nil"/>
              <w:bottom w:val="nil"/>
            </w:tcBorders>
          </w:tcPr>
          <w:p>
            <w:pPr>
              <w:spacing w:line="400" w:lineRule="exact"/>
              <w:rPr>
                <w:rFonts w:eastAsia="仿宋_GB2312"/>
                <w:bCs/>
                <w:sz w:val="28"/>
              </w:rPr>
            </w:pPr>
            <w:r>
              <w:rPr>
                <w:rFonts w:eastAsia="仿宋_GB2312"/>
                <w:bCs/>
                <w:sz w:val="28"/>
              </w:rPr>
              <w:t>代码:</w:t>
            </w:r>
            <w:r>
              <w:rPr>
                <w:rFonts w:hint="eastAsia" w:eastAsia="仿宋_GB2312"/>
                <w:bCs/>
                <w:sz w:val="28"/>
              </w:rPr>
              <w:t xml:space="preserve"> </w:t>
            </w:r>
            <w:r>
              <w:rPr>
                <w:rFonts w:hint="eastAsia"/>
                <w:sz w:val="28"/>
                <w:szCs w:val="28"/>
              </w:rPr>
              <w:t xml:space="preserve"> </w:t>
            </w:r>
            <w:r>
              <w:rPr>
                <w:sz w:val="28"/>
                <w:szCs w:val="28"/>
              </w:rPr>
              <w:t>0741</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p>
      <w:pPr>
        <w:jc w:val="center"/>
        <w:rPr>
          <w:rFonts w:eastAsia="仿宋_GB2312"/>
          <w:sz w:val="24"/>
          <w:u w:val="thick"/>
        </w:rPr>
      </w:pPr>
    </w:p>
    <w:tbl>
      <w:tblPr>
        <w:tblStyle w:val="7"/>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983"/>
        <w:gridCol w:w="4767"/>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rPr>
          <w:trHeight w:val="426" w:hRule="atLeast"/>
          <w:jc w:val="center"/>
        </w:trPr>
        <w:tc>
          <w:tcPr>
            <w:tcW w:w="2983" w:type="dxa"/>
            <w:tcBorders>
              <w:top w:val="nil"/>
              <w:bottom w:val="nil"/>
            </w:tcBorders>
          </w:tcPr>
          <w:p>
            <w:pPr>
              <w:spacing w:line="400" w:lineRule="exact"/>
              <w:rPr>
                <w:rFonts w:eastAsia="仿宋_GB2312"/>
                <w:bCs/>
                <w:sz w:val="28"/>
              </w:rPr>
            </w:pPr>
          </w:p>
        </w:tc>
        <w:tc>
          <w:tcPr>
            <w:tcW w:w="4767" w:type="dxa"/>
            <w:tcBorders>
              <w:top w:val="nil"/>
              <w:bottom w:val="nil"/>
            </w:tcBorders>
          </w:tcPr>
          <w:p>
            <w:pPr>
              <w:spacing w:line="400" w:lineRule="exact"/>
              <w:rPr>
                <w:rFonts w:eastAsia="仿宋_GB2312"/>
                <w:bCs/>
                <w:sz w:val="28"/>
              </w:rPr>
            </w:pPr>
            <w:r>
              <w:rPr>
                <w:rFonts w:hint="eastAsia" w:eastAsia="仿宋_GB2312"/>
                <w:bCs/>
                <w:sz w:val="28"/>
              </w:rPr>
              <w:t>牵头学院：</w:t>
            </w:r>
            <w:r>
              <w:rPr>
                <w:rFonts w:eastAsia="仿宋_GB2312"/>
                <w:bCs/>
                <w:sz w:val="28"/>
              </w:rPr>
              <w:t>数学与统计学院</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280"/>
              <w:jc w:val="center"/>
              <w:rPr>
                <w:rFonts w:eastAsia="仿宋_GB2312"/>
                <w:bCs/>
                <w:sz w:val="28"/>
              </w:rPr>
            </w:pPr>
          </w:p>
        </w:tc>
        <w:tc>
          <w:tcPr>
            <w:tcW w:w="4767" w:type="dxa"/>
            <w:tcBorders>
              <w:top w:val="nil"/>
              <w:bottom w:val="nil"/>
            </w:tcBorders>
          </w:tcPr>
          <w:p>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419"/>
              <w:jc w:val="center"/>
              <w:rPr>
                <w:rFonts w:eastAsia="仿宋_GB2312"/>
                <w:bCs/>
                <w:sz w:val="28"/>
              </w:rPr>
            </w:pPr>
            <w:r>
              <w:rPr>
                <w:rFonts w:hint="eastAsia" w:eastAsia="仿宋_GB2312"/>
                <w:bCs/>
                <w:sz w:val="28"/>
              </w:rPr>
              <w:t>材料联系人</w:t>
            </w:r>
          </w:p>
        </w:tc>
        <w:tc>
          <w:tcPr>
            <w:tcW w:w="4767" w:type="dxa"/>
            <w:tcBorders>
              <w:top w:val="nil"/>
              <w:bottom w:val="nil"/>
            </w:tcBorders>
          </w:tcPr>
          <w:p>
            <w:pPr>
              <w:spacing w:line="400" w:lineRule="exact"/>
              <w:rPr>
                <w:rFonts w:hint="default" w:eastAsia="仿宋_GB2312"/>
                <w:bCs/>
                <w:sz w:val="28"/>
                <w:lang w:val="en-US" w:eastAsia="zh-CN"/>
              </w:rPr>
            </w:pPr>
            <w:r>
              <w:rPr>
                <w:rFonts w:hint="eastAsia" w:eastAsia="仿宋_GB2312"/>
                <w:bCs/>
                <w:sz w:val="28"/>
              </w:rPr>
              <w:t>姓名</w:t>
            </w:r>
            <w:r>
              <w:rPr>
                <w:rFonts w:eastAsia="仿宋_GB2312"/>
                <w:bCs/>
                <w:sz w:val="28"/>
              </w:rPr>
              <w:t>:</w:t>
            </w:r>
            <w:r>
              <w:rPr>
                <w:rFonts w:hint="eastAsia" w:eastAsia="仿宋_GB2312"/>
                <w:bCs/>
                <w:sz w:val="28"/>
                <w:lang w:val="en-US" w:eastAsia="zh-CN"/>
              </w:rPr>
              <w:t>郭水霞</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419"/>
              <w:rPr>
                <w:rFonts w:eastAsia="仿宋_GB2312"/>
                <w:bCs/>
                <w:sz w:val="28"/>
              </w:rPr>
            </w:pPr>
          </w:p>
        </w:tc>
        <w:tc>
          <w:tcPr>
            <w:tcW w:w="4767" w:type="dxa"/>
            <w:tcBorders>
              <w:top w:val="nil"/>
              <w:bottom w:val="nil"/>
            </w:tcBorders>
          </w:tcPr>
          <w:p>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tcBorders>
          </w:tcPr>
          <w:p>
            <w:pPr>
              <w:spacing w:line="400" w:lineRule="exact"/>
              <w:ind w:right="419"/>
              <w:rPr>
                <w:rFonts w:eastAsia="仿宋_GB2312"/>
                <w:bCs/>
                <w:sz w:val="28"/>
              </w:rPr>
            </w:pPr>
          </w:p>
        </w:tc>
        <w:tc>
          <w:tcPr>
            <w:tcW w:w="4767" w:type="dxa"/>
            <w:tcBorders>
              <w:top w:val="nil"/>
              <w:bottom w:val="nil"/>
            </w:tcBorders>
          </w:tcPr>
          <w:p>
            <w:pPr>
              <w:spacing w:line="400" w:lineRule="exact"/>
              <w:rPr>
                <w:rFonts w:hint="default" w:eastAsia="仿宋_GB2312"/>
                <w:bCs/>
                <w:sz w:val="28"/>
                <w:lang w:val="en-US" w:eastAsia="zh-CN"/>
              </w:rPr>
            </w:pPr>
            <w:r>
              <w:rPr>
                <w:rFonts w:hint="eastAsia" w:eastAsia="仿宋_GB2312"/>
                <w:bCs/>
                <w:sz w:val="28"/>
              </w:rPr>
              <w:t>电话</w:t>
            </w:r>
            <w:r>
              <w:rPr>
                <w:rFonts w:eastAsia="仿宋_GB2312"/>
                <w:bCs/>
                <w:sz w:val="28"/>
              </w:rPr>
              <w:t>:</w:t>
            </w:r>
            <w:r>
              <w:rPr>
                <w:rFonts w:hint="eastAsia" w:eastAsia="仿宋_GB2312"/>
                <w:bCs/>
                <w:sz w:val="28"/>
                <w:lang w:val="en-US" w:eastAsia="zh-CN"/>
              </w:rPr>
              <w:t>13107019688</w:t>
            </w:r>
          </w:p>
        </w:tc>
      </w:tr>
    </w:tbl>
    <w:p>
      <w:pPr>
        <w:rPr>
          <w:sz w:val="24"/>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湖南师范大学学位评定委员会</w:t>
      </w:r>
      <w:r>
        <w:rPr>
          <w:rFonts w:eastAsia="仿宋_GB2312"/>
          <w:sz w:val="32"/>
        </w:rPr>
        <w:t>办公室制</w:t>
      </w:r>
    </w:p>
    <w:p>
      <w:pPr>
        <w:jc w:val="center"/>
        <w:rPr>
          <w:rFonts w:eastAsia="仿宋"/>
          <w:sz w:val="28"/>
          <w:szCs w:val="28"/>
        </w:rPr>
      </w:pPr>
      <w:r>
        <w:rPr>
          <w:rFonts w:eastAsia="仿宋"/>
          <w:sz w:val="28"/>
          <w:szCs w:val="28"/>
        </w:rPr>
        <w:t>202</w:t>
      </w:r>
      <w:r>
        <w:rPr>
          <w:rFonts w:hint="eastAsia" w:eastAsia="仿宋"/>
          <w:sz w:val="28"/>
          <w:szCs w:val="28"/>
          <w:lang w:val="en-US" w:eastAsia="zh-CN"/>
        </w:rPr>
        <w:t>2</w:t>
      </w:r>
      <w:bookmarkStart w:id="1" w:name="_GoBack"/>
      <w:bookmarkEnd w:id="1"/>
      <w:r>
        <w:rPr>
          <w:rFonts w:hAnsi="仿宋" w:eastAsia="仿宋"/>
          <w:sz w:val="28"/>
          <w:szCs w:val="28"/>
        </w:rPr>
        <w:t>年</w:t>
      </w:r>
      <w:r>
        <w:rPr>
          <w:rFonts w:hint="eastAsia" w:eastAsia="仿宋"/>
          <w:sz w:val="28"/>
          <w:szCs w:val="28"/>
          <w:lang w:val="en-US" w:eastAsia="zh-CN"/>
        </w:rPr>
        <w:t>1</w:t>
      </w:r>
      <w:r>
        <w:rPr>
          <w:rFonts w:hAnsi="仿宋" w:eastAsia="仿宋"/>
          <w:sz w:val="28"/>
          <w:szCs w:val="28"/>
        </w:rPr>
        <w:t>月</w:t>
      </w:r>
      <w:r>
        <w:rPr>
          <w:rFonts w:hint="eastAsia" w:hAnsi="仿宋" w:eastAsia="仿宋"/>
          <w:sz w:val="28"/>
          <w:szCs w:val="28"/>
          <w:lang w:val="en-US" w:eastAsia="zh-CN"/>
        </w:rPr>
        <w:t>17</w:t>
      </w:r>
      <w:r>
        <w:rPr>
          <w:rFonts w:hint="eastAsia" w:eastAsia="仿宋"/>
          <w:sz w:val="28"/>
          <w:szCs w:val="28"/>
        </w:rPr>
        <w:t xml:space="preserve"> </w:t>
      </w:r>
      <w:r>
        <w:rPr>
          <w:rFonts w:hAnsi="仿宋" w:eastAsia="仿宋"/>
          <w:sz w:val="28"/>
          <w:szCs w:val="28"/>
        </w:rPr>
        <w:t>日</w:t>
      </w:r>
    </w:p>
    <w:p>
      <w:r>
        <w:br w:type="page"/>
      </w:r>
    </w:p>
    <w:p>
      <w:pPr>
        <w:pStyle w:val="13"/>
        <w:numPr>
          <w:ilvl w:val="0"/>
          <w:numId w:val="1"/>
        </w:numPr>
        <w:ind w:firstLineChars="0"/>
        <w:rPr>
          <w:rFonts w:ascii="黑体" w:hAnsi="黑体" w:eastAsia="黑体"/>
          <w:sz w:val="32"/>
          <w:szCs w:val="32"/>
        </w:rPr>
      </w:pPr>
      <w:r>
        <w:rPr>
          <w:rFonts w:hint="eastAsia" w:ascii="黑体" w:hAnsi="黑体" w:eastAsia="黑体"/>
          <w:sz w:val="32"/>
          <w:szCs w:val="32"/>
        </w:rPr>
        <w:t>学位授权点基本概况与年度发展目标</w:t>
      </w:r>
    </w:p>
    <w:p>
      <w:pPr>
        <w:spacing w:line="360" w:lineRule="auto"/>
        <w:rPr>
          <w:rFonts w:eastAsia="黑体"/>
          <w:sz w:val="28"/>
          <w:szCs w:val="28"/>
        </w:rPr>
      </w:pPr>
      <w:r>
        <w:rPr>
          <w:rFonts w:eastAsia="黑体"/>
          <w:sz w:val="28"/>
          <w:szCs w:val="28"/>
        </w:rPr>
        <w:t>1</w:t>
      </w:r>
      <w:r>
        <w:rPr>
          <w:rFonts w:hint="eastAsia" w:eastAsia="黑体"/>
          <w:sz w:val="28"/>
          <w:szCs w:val="28"/>
        </w:rPr>
        <w:t>、</w:t>
      </w:r>
      <w:r>
        <w:rPr>
          <w:rFonts w:eastAsia="黑体"/>
          <w:sz w:val="28"/>
          <w:szCs w:val="28"/>
        </w:rPr>
        <w:t>学位授权点基本情况</w:t>
      </w:r>
    </w:p>
    <w:p>
      <w:pPr>
        <w:spacing w:line="360" w:lineRule="auto"/>
        <w:ind w:firstLine="560" w:firstLineChars="200"/>
        <w:rPr>
          <w:sz w:val="28"/>
          <w:szCs w:val="28"/>
        </w:rPr>
      </w:pPr>
      <w:r>
        <w:rPr>
          <w:sz w:val="28"/>
          <w:szCs w:val="28"/>
        </w:rPr>
        <w:t>2011年国务院学位委员会将《统计学》确定为一级学科，并放在理学门类下。《统计学》作为一级学科的时间不长，但我校的统计学科已经建设了很长的时间。文革后，我校就开设了《概率论与数理统计》课程、编写了《概率论与数理统计》教材，并于1986年开始招收《概率论与数理统计》的研究生。1993年，著名概率统计专家杨向群加盟湖南师大后，我校统计学得到很大的发展。1997年获得《概率论与数理统计》硕士点；1999年获批设置《统计学》本科专业；2000年开始招收统计学本科学生；2005年，获得《概率论与数理统计》博士点；同年引入“教育部长江学者特聘教授”冯建峰，并设立“随机过程与生物信息”岗位；2006年获得《应用经济学》一级学科门类下的《统计学》硕士点；2010年获得《应用统计》专业硕士点；2011年获得首批《统计学》一级学科博士点；2012年获得统计学博士后流动站。</w:t>
      </w:r>
    </w:p>
    <w:p>
      <w:pPr>
        <w:spacing w:line="360" w:lineRule="auto"/>
        <w:ind w:firstLine="560" w:firstLineChars="200"/>
        <w:rPr>
          <w:color w:val="000000"/>
          <w:sz w:val="28"/>
          <w:szCs w:val="28"/>
        </w:rPr>
      </w:pPr>
      <w:r>
        <w:rPr>
          <w:sz w:val="28"/>
          <w:szCs w:val="28"/>
        </w:rPr>
        <w:t>本学位点建设的依托单位为湖南师范大学数学与统计学院，该学院拥有数学</w:t>
      </w:r>
      <w:r>
        <w:rPr>
          <w:rFonts w:hint="eastAsia"/>
          <w:sz w:val="28"/>
          <w:szCs w:val="28"/>
        </w:rPr>
        <w:t>和</w:t>
      </w:r>
      <w:r>
        <w:rPr>
          <w:sz w:val="28"/>
          <w:szCs w:val="28"/>
        </w:rPr>
        <w:t>统计学两个一级学科博士点、</w:t>
      </w:r>
      <w:r>
        <w:rPr>
          <w:rFonts w:hint="eastAsia"/>
          <w:sz w:val="28"/>
          <w:szCs w:val="28"/>
        </w:rPr>
        <w:t>数学和统计学两个博士后流动站、“计算与随机数学”教育部重点实验室、数学和统计学均为湖南省双一流学科、拥有统计学、数学与应用数学、信息与计算科学三个国家一流本科专业。</w:t>
      </w:r>
      <w:r>
        <w:rPr>
          <w:color w:val="000000"/>
          <w:sz w:val="28"/>
          <w:szCs w:val="28"/>
        </w:rPr>
        <w:t>历经几十年的学科建设与发展，已在师资队伍、教学科研和人才培养等方面为统计学科的发展创造了良好的条件。</w:t>
      </w:r>
    </w:p>
    <w:p>
      <w:pPr>
        <w:spacing w:line="360" w:lineRule="auto"/>
        <w:ind w:firstLine="560" w:firstLineChars="200"/>
        <w:rPr>
          <w:color w:val="000000"/>
          <w:sz w:val="28"/>
          <w:szCs w:val="28"/>
        </w:rPr>
      </w:pPr>
    </w:p>
    <w:p>
      <w:pPr>
        <w:spacing w:line="360" w:lineRule="auto"/>
        <w:rPr>
          <w:rFonts w:eastAsia="黑体"/>
          <w:sz w:val="28"/>
          <w:szCs w:val="28"/>
        </w:rPr>
      </w:pPr>
      <w:r>
        <w:rPr>
          <w:rFonts w:hint="eastAsia" w:eastAsia="黑体"/>
          <w:sz w:val="28"/>
          <w:szCs w:val="28"/>
        </w:rPr>
        <w:t>2、</w:t>
      </w:r>
      <w:r>
        <w:rPr>
          <w:rFonts w:eastAsia="黑体"/>
          <w:sz w:val="28"/>
          <w:szCs w:val="28"/>
        </w:rPr>
        <w:t>年度</w:t>
      </w:r>
      <w:r>
        <w:rPr>
          <w:rFonts w:hint="eastAsia" w:eastAsia="黑体"/>
          <w:sz w:val="28"/>
          <w:szCs w:val="28"/>
        </w:rPr>
        <w:t>发展</w:t>
      </w:r>
      <w:r>
        <w:rPr>
          <w:rFonts w:eastAsia="黑体"/>
          <w:sz w:val="28"/>
          <w:szCs w:val="28"/>
        </w:rPr>
        <w:t>目标</w:t>
      </w:r>
    </w:p>
    <w:p>
      <w:pPr>
        <w:snapToGrid w:val="0"/>
        <w:spacing w:before="156" w:beforeLines="50" w:line="360" w:lineRule="auto"/>
        <w:ind w:firstLine="562" w:firstLineChars="200"/>
        <w:rPr>
          <w:rFonts w:ascii="宋体" w:hAnsi="宋体"/>
          <w:b/>
          <w:bCs/>
          <w:sz w:val="28"/>
          <w:szCs w:val="28"/>
        </w:rPr>
      </w:pPr>
      <w:r>
        <w:rPr>
          <w:rFonts w:hint="eastAsia" w:ascii="宋体" w:hAnsi="宋体"/>
          <w:b/>
          <w:bCs/>
          <w:sz w:val="28"/>
          <w:szCs w:val="28"/>
        </w:rPr>
        <w:t>1</w:t>
      </w:r>
      <w:r>
        <w:rPr>
          <w:rFonts w:ascii="宋体" w:hAnsi="宋体"/>
          <w:b/>
          <w:bCs/>
          <w:sz w:val="28"/>
          <w:szCs w:val="28"/>
        </w:rPr>
        <w:t>.培养目标</w:t>
      </w:r>
    </w:p>
    <w:p>
      <w:pPr>
        <w:snapToGrid w:val="0"/>
        <w:spacing w:line="360" w:lineRule="auto"/>
        <w:ind w:firstLine="560" w:firstLineChars="200"/>
        <w:rPr>
          <w:rFonts w:ascii="宋体" w:hAnsi="宋体"/>
          <w:sz w:val="28"/>
          <w:szCs w:val="28"/>
        </w:rPr>
      </w:pPr>
      <w:r>
        <w:rPr>
          <w:rFonts w:ascii="宋体" w:hAnsi="宋体"/>
          <w:sz w:val="28"/>
          <w:szCs w:val="28"/>
        </w:rPr>
        <w:t>本学科致力于为学术领域和企业培养研究和教学的高层次统计学人才，能够从事包括交叉学科的跨学科研究和应用</w:t>
      </w:r>
      <w:r>
        <w:rPr>
          <w:rFonts w:hint="eastAsia" w:ascii="宋体" w:hAnsi="宋体"/>
          <w:sz w:val="28"/>
          <w:szCs w:val="28"/>
        </w:rPr>
        <w:t>，</w:t>
      </w:r>
      <w:r>
        <w:rPr>
          <w:rFonts w:ascii="宋体" w:hAnsi="宋体"/>
          <w:sz w:val="28"/>
          <w:szCs w:val="28"/>
        </w:rPr>
        <w:t>掌握马克思主义的基本理论和专业知识，具有良好的道德品质、严谨的科学态度和敬业精神。具体包括：系统掌握统计学学科核心课程，特别要掌握必要的数学理论知识，熟练掌握统计学的基本理论与方法；具有独立的科研能力，在统计学的理论、方法、应用方面有创新性研究工作；良好的外语水平；毕业后可以从事统计学理论、方法、应用及其他的科研和教学工作。</w:t>
      </w:r>
    </w:p>
    <w:p>
      <w:pPr>
        <w:snapToGrid w:val="0"/>
        <w:spacing w:before="156" w:beforeLines="50" w:line="360" w:lineRule="auto"/>
        <w:ind w:firstLine="562" w:firstLineChars="200"/>
        <w:rPr>
          <w:rFonts w:ascii="宋体" w:hAnsi="宋体"/>
          <w:b/>
          <w:bCs/>
          <w:sz w:val="28"/>
          <w:szCs w:val="28"/>
        </w:rPr>
      </w:pPr>
      <w:r>
        <w:rPr>
          <w:rFonts w:hint="eastAsia" w:ascii="宋体" w:hAnsi="宋体"/>
          <w:b/>
          <w:bCs/>
          <w:sz w:val="28"/>
          <w:szCs w:val="28"/>
        </w:rPr>
        <w:t>2</w:t>
      </w:r>
      <w:r>
        <w:rPr>
          <w:rFonts w:ascii="宋体" w:hAnsi="宋体"/>
          <w:b/>
          <w:bCs/>
          <w:sz w:val="28"/>
          <w:szCs w:val="28"/>
        </w:rPr>
        <w:t>.学位标准</w:t>
      </w:r>
    </w:p>
    <w:p>
      <w:pPr>
        <w:spacing w:line="360" w:lineRule="auto"/>
        <w:ind w:firstLine="560" w:firstLineChars="200"/>
        <w:rPr>
          <w:rFonts w:ascii="宋体" w:hAnsi="宋体"/>
          <w:sz w:val="28"/>
          <w:szCs w:val="28"/>
        </w:rPr>
      </w:pPr>
      <w:r>
        <w:rPr>
          <w:rFonts w:ascii="宋体" w:hAnsi="宋体"/>
          <w:sz w:val="28"/>
          <w:szCs w:val="28"/>
        </w:rPr>
        <w:t>为保证统计学学科研究生培养质量，本一级学科学位点根据国务院学位委员会制定的《一级学科博士、硕士学位基本要求》，制订了符合统计学一级学科研究生培养目标的学位授予标准。</w:t>
      </w:r>
    </w:p>
    <w:p>
      <w:pPr>
        <w:spacing w:line="360" w:lineRule="auto"/>
        <w:ind w:firstLine="560" w:firstLineChars="200"/>
        <w:rPr>
          <w:rFonts w:ascii="宋体" w:hAnsi="宋体"/>
          <w:sz w:val="28"/>
          <w:szCs w:val="28"/>
        </w:rPr>
      </w:pPr>
      <w:r>
        <w:rPr>
          <w:rFonts w:ascii="宋体" w:hAnsi="宋体"/>
          <w:sz w:val="28"/>
          <w:szCs w:val="28"/>
        </w:rPr>
        <w:t>博士学位获得者应在有关研究方向的一些较重要的课题中做出有创新性的成果；至少掌握一门外国语，能熟练阅读本专业的外文资料，具有一定的写作能力和进行国际学术交流的能力；能承担统计学及其相关学科的科学研究、教学或其他实际工作。具体见湖南师范大学统计学博士学位培养标准。</w:t>
      </w:r>
    </w:p>
    <w:p>
      <w:pPr>
        <w:spacing w:line="360" w:lineRule="auto"/>
        <w:ind w:firstLine="420" w:firstLineChars="150"/>
        <w:rPr>
          <w:rFonts w:ascii="宋体" w:hAnsi="宋体"/>
          <w:sz w:val="28"/>
          <w:szCs w:val="28"/>
        </w:rPr>
      </w:pPr>
      <w:r>
        <w:rPr>
          <w:rFonts w:ascii="宋体" w:hAnsi="宋体"/>
          <w:sz w:val="28"/>
          <w:szCs w:val="28"/>
        </w:rPr>
        <w:t>硕士学位获得者应在某个专业方向上做出有理论或实践意义的成果；较为熟练地掌握一门外国语，能阅读本专业的外文资料；能从事与统计学相关的科研、教学或其他实际工作。具体见湖南师范大学统计学硕士学位培养标准。</w:t>
      </w:r>
    </w:p>
    <w:p>
      <w:pPr>
        <w:pStyle w:val="13"/>
        <w:numPr>
          <w:ilvl w:val="0"/>
          <w:numId w:val="1"/>
        </w:numPr>
        <w:ind w:firstLineChars="0"/>
        <w:rPr>
          <w:rFonts w:ascii="黑体" w:hAnsi="黑体" w:eastAsia="黑体"/>
          <w:sz w:val="32"/>
          <w:szCs w:val="32"/>
        </w:rPr>
      </w:pPr>
      <w:r>
        <w:rPr>
          <w:rFonts w:ascii="黑体" w:hAnsi="黑体" w:eastAsia="黑体"/>
          <w:sz w:val="32"/>
          <w:szCs w:val="32"/>
        </w:rPr>
        <w:t>学位授权点基本条件建设情况</w:t>
      </w:r>
    </w:p>
    <w:p>
      <w:pPr>
        <w:spacing w:line="360" w:lineRule="auto"/>
        <w:rPr>
          <w:rFonts w:eastAsia="黑体"/>
          <w:sz w:val="28"/>
          <w:szCs w:val="28"/>
        </w:rPr>
      </w:pPr>
      <w:r>
        <w:rPr>
          <w:rFonts w:hint="eastAsia" w:ascii="楷体_GB2312" w:eastAsia="楷体_GB2312"/>
          <w:sz w:val="32"/>
          <w:szCs w:val="32"/>
        </w:rPr>
        <w:t xml:space="preserve">   </w:t>
      </w:r>
      <w:r>
        <w:rPr>
          <w:rFonts w:eastAsia="黑体"/>
          <w:sz w:val="28"/>
          <w:szCs w:val="28"/>
        </w:rPr>
        <w:t>1</w:t>
      </w:r>
      <w:r>
        <w:rPr>
          <w:rFonts w:hint="eastAsia" w:eastAsia="黑体"/>
          <w:sz w:val="28"/>
          <w:szCs w:val="28"/>
        </w:rPr>
        <w:t>、</w:t>
      </w:r>
      <w:r>
        <w:rPr>
          <w:rFonts w:eastAsia="黑体"/>
          <w:sz w:val="28"/>
          <w:szCs w:val="28"/>
        </w:rPr>
        <w:t>方向设置</w:t>
      </w:r>
    </w:p>
    <w:p>
      <w:pPr>
        <w:spacing w:line="360" w:lineRule="auto"/>
        <w:ind w:firstLine="560" w:firstLineChars="200"/>
        <w:rPr>
          <w:color w:val="000000"/>
          <w:sz w:val="28"/>
          <w:szCs w:val="28"/>
        </w:rPr>
      </w:pPr>
      <w:r>
        <w:rPr>
          <w:color w:val="000000"/>
          <w:sz w:val="28"/>
          <w:szCs w:val="28"/>
        </w:rPr>
        <w:t>统计学一级学科下设生物卫生统计学、数理统计学、社会经济统计学、</w:t>
      </w:r>
      <w:r>
        <w:rPr>
          <w:bCs/>
          <w:color w:val="000000"/>
          <w:sz w:val="28"/>
          <w:szCs w:val="28"/>
        </w:rPr>
        <w:t>金融统计、风险管理与精算学、应用统计学</w:t>
      </w:r>
      <w:r>
        <w:rPr>
          <w:color w:val="000000"/>
          <w:sz w:val="28"/>
          <w:szCs w:val="28"/>
        </w:rPr>
        <w:t>5个方向。</w:t>
      </w:r>
    </w:p>
    <w:p>
      <w:pPr>
        <w:spacing w:line="360" w:lineRule="auto"/>
        <w:ind w:firstLine="551" w:firstLineChars="196"/>
        <w:rPr>
          <w:color w:val="000000"/>
          <w:sz w:val="28"/>
          <w:szCs w:val="28"/>
        </w:rPr>
      </w:pPr>
      <w:r>
        <w:rPr>
          <w:b/>
          <w:bCs/>
          <w:color w:val="000000"/>
          <w:sz w:val="28"/>
          <w:szCs w:val="28"/>
        </w:rPr>
        <w:t>生物卫生统计学：</w:t>
      </w:r>
      <w:r>
        <w:rPr>
          <w:color w:val="000000"/>
          <w:sz w:val="28"/>
          <w:szCs w:val="28"/>
        </w:rPr>
        <w:t>运用数理统计学方法来处理生物、卫生现象，获得数据并研究数据。探讨生物学、临床医学、预防医学等生命科学、医学科学中的实验性研究和观察性研究的分析、资料整理与统计推断等的学科。探索生物、医学的科学规律，分析评价生物和医学中环境、干预和暴露等因素对生物、环境和健康的影响等。</w:t>
      </w:r>
    </w:p>
    <w:p>
      <w:pPr>
        <w:spacing w:line="360" w:lineRule="auto"/>
        <w:ind w:firstLine="562" w:firstLineChars="200"/>
        <w:rPr>
          <w:color w:val="000000"/>
          <w:sz w:val="28"/>
          <w:szCs w:val="28"/>
        </w:rPr>
      </w:pPr>
      <w:r>
        <w:rPr>
          <w:b/>
          <w:bCs/>
          <w:color w:val="000000"/>
          <w:sz w:val="28"/>
          <w:szCs w:val="28"/>
        </w:rPr>
        <w:t>数理统计学：</w:t>
      </w:r>
      <w:r>
        <w:rPr>
          <w:bCs/>
          <w:color w:val="000000"/>
          <w:sz w:val="28"/>
          <w:szCs w:val="28"/>
        </w:rPr>
        <w:t>是</w:t>
      </w:r>
      <w:r>
        <w:rPr>
          <w:color w:val="000000"/>
          <w:sz w:val="28"/>
          <w:szCs w:val="28"/>
        </w:rPr>
        <w:t>统计学科的理论基础，研究内容着重于数据分析的理论基础和方法，包括观察和试验数据的收集以及数据分析的理论基础；统计推断和决策中的原理、方法、统计思想，特定的统计推断形式、特定的统计观点和特定的理论模型或样本结构等。</w:t>
      </w:r>
    </w:p>
    <w:p>
      <w:pPr>
        <w:spacing w:line="360" w:lineRule="auto"/>
        <w:ind w:firstLine="562" w:firstLineChars="200"/>
        <w:rPr>
          <w:color w:val="000000"/>
          <w:sz w:val="28"/>
          <w:szCs w:val="28"/>
        </w:rPr>
      </w:pPr>
      <w:r>
        <w:rPr>
          <w:b/>
          <w:bCs/>
          <w:color w:val="000000"/>
          <w:sz w:val="28"/>
          <w:szCs w:val="28"/>
        </w:rPr>
        <w:t>社会经济统计学：</w:t>
      </w:r>
      <w:r>
        <w:rPr>
          <w:color w:val="000000"/>
          <w:sz w:val="28"/>
          <w:szCs w:val="28"/>
        </w:rPr>
        <w:t>以社会活动、经济活动和经济管理为对象，是统计学与经济学、社会学交叉的学科。应用数理统计学的理论和方法，结合经济学的特点，研究以经济系统和经济复杂过程产生的数据，揭示复杂经济系统和社会系统的规律，为社会经济的理论研究及其政府、企业管理决策研究提供依据。</w:t>
      </w:r>
    </w:p>
    <w:p>
      <w:pPr>
        <w:spacing w:line="360" w:lineRule="auto"/>
        <w:ind w:firstLine="551" w:firstLineChars="196"/>
        <w:rPr>
          <w:color w:val="000000"/>
          <w:sz w:val="28"/>
          <w:szCs w:val="28"/>
        </w:rPr>
      </w:pPr>
      <w:r>
        <w:rPr>
          <w:b/>
          <w:bCs/>
          <w:color w:val="000000"/>
          <w:sz w:val="28"/>
          <w:szCs w:val="28"/>
        </w:rPr>
        <w:t>金融统计、风险管理与精算学：</w:t>
      </w:r>
      <w:r>
        <w:rPr>
          <w:color w:val="000000"/>
          <w:sz w:val="28"/>
          <w:szCs w:val="28"/>
        </w:rPr>
        <w:t>以金融数据和信息为主要研究对象、以风险分析和管理为研究内容的一门交叉学科。运用数学、特别是概率论与数理统计的理论和方法，定量地、动态地研究金融学中的问题。</w:t>
      </w:r>
    </w:p>
    <w:p>
      <w:pPr>
        <w:spacing w:line="360" w:lineRule="auto"/>
        <w:ind w:firstLine="551" w:firstLineChars="196"/>
        <w:rPr>
          <w:color w:val="000000"/>
          <w:sz w:val="28"/>
          <w:szCs w:val="28"/>
        </w:rPr>
      </w:pPr>
      <w:r>
        <w:rPr>
          <w:b/>
          <w:bCs/>
          <w:color w:val="000000"/>
          <w:sz w:val="28"/>
          <w:szCs w:val="28"/>
        </w:rPr>
        <w:t>应用统计学：</w:t>
      </w:r>
      <w:r>
        <w:rPr>
          <w:bCs/>
          <w:color w:val="000000"/>
          <w:sz w:val="28"/>
          <w:szCs w:val="28"/>
        </w:rPr>
        <w:t>是</w:t>
      </w:r>
      <w:r>
        <w:rPr>
          <w:color w:val="000000"/>
          <w:sz w:val="28"/>
          <w:szCs w:val="28"/>
        </w:rPr>
        <w:t>具有清晰背景的统计学理论和方法的应用的总称，它是以数理统计学基本理论为基础，突出统计学的实际应用，研究如何应用统计学理论与方法解决在教育、地矿等各个科学和社会各个领域的实际问题，丰富统计理论与方法，推动交叉学科的发展。</w:t>
      </w:r>
    </w:p>
    <w:p>
      <w:pPr>
        <w:spacing w:line="360" w:lineRule="auto"/>
        <w:rPr>
          <w:rFonts w:eastAsia="黑体"/>
          <w:sz w:val="28"/>
          <w:szCs w:val="28"/>
        </w:rPr>
      </w:pPr>
      <w:r>
        <w:rPr>
          <w:rFonts w:eastAsia="黑体"/>
          <w:sz w:val="28"/>
          <w:szCs w:val="28"/>
        </w:rPr>
        <w:t>2</w:t>
      </w:r>
      <w:r>
        <w:rPr>
          <w:rFonts w:hint="eastAsia" w:eastAsia="黑体"/>
          <w:sz w:val="28"/>
          <w:szCs w:val="28"/>
        </w:rPr>
        <w:t>、</w:t>
      </w:r>
      <w:r>
        <w:rPr>
          <w:rFonts w:eastAsia="黑体"/>
          <w:sz w:val="28"/>
          <w:szCs w:val="28"/>
        </w:rPr>
        <w:t>师资队伍</w:t>
      </w:r>
    </w:p>
    <w:p>
      <w:pPr>
        <w:spacing w:line="360" w:lineRule="auto"/>
        <w:ind w:firstLine="548" w:firstLineChars="196"/>
        <w:rPr>
          <w:color w:val="000000"/>
          <w:sz w:val="28"/>
          <w:szCs w:val="28"/>
        </w:rPr>
      </w:pPr>
      <w:r>
        <w:rPr>
          <w:color w:val="000000"/>
          <w:sz w:val="28"/>
          <w:szCs w:val="28"/>
        </w:rPr>
        <w:t>经过多年建设，本学位点形成了一支结构合理、教学科研能力强的师资队伍。拥有专任教师20人，其中获博士学位人员</w:t>
      </w:r>
      <w:r>
        <w:rPr>
          <w:color w:val="000000" w:themeColor="text1"/>
          <w:sz w:val="28"/>
          <w:szCs w:val="28"/>
        </w:rPr>
        <w:t>占90</w:t>
      </w:r>
      <w:r>
        <w:rPr>
          <w:color w:val="000000"/>
          <w:sz w:val="28"/>
          <w:szCs w:val="28"/>
        </w:rPr>
        <w:t xml:space="preserve"> %；博士生导师9人，硕士生导师19人；教授9人，副教授9人。其中教育部新世纪优秀人才计划入选者1名，湖南省芙蓉学者特聘教授</w:t>
      </w:r>
      <w:r>
        <w:rPr>
          <w:rFonts w:hint="eastAsia"/>
          <w:color w:val="000000"/>
          <w:sz w:val="28"/>
          <w:szCs w:val="28"/>
        </w:rPr>
        <w:t>2名，湖湘高层次人才聚集工程人选1名，</w:t>
      </w:r>
      <w:r>
        <w:rPr>
          <w:color w:val="000000"/>
          <w:sz w:val="28"/>
          <w:szCs w:val="28"/>
        </w:rPr>
        <w:t>湖南省普通高校学科带头人计划入选者1名，湖南省杰出青年基金获得者1名</w:t>
      </w:r>
      <w:r>
        <w:rPr>
          <w:rFonts w:hint="eastAsia"/>
          <w:color w:val="000000"/>
          <w:sz w:val="28"/>
          <w:szCs w:val="28"/>
        </w:rPr>
        <w:t>，</w:t>
      </w:r>
      <w:r>
        <w:rPr>
          <w:color w:val="000000"/>
          <w:sz w:val="28"/>
          <w:szCs w:val="28"/>
        </w:rPr>
        <w:t>国际清洁能源拔尖创新人才入选者1名</w:t>
      </w:r>
      <w:r>
        <w:rPr>
          <w:rFonts w:hint="eastAsia"/>
          <w:color w:val="000000"/>
          <w:sz w:val="28"/>
          <w:szCs w:val="28"/>
        </w:rPr>
        <w:t>，校</w:t>
      </w:r>
      <w:r>
        <w:rPr>
          <w:color w:val="000000"/>
          <w:sz w:val="28"/>
          <w:szCs w:val="28"/>
        </w:rPr>
        <w:t>“潇湘学者计划”</w:t>
      </w:r>
      <w:r>
        <w:rPr>
          <w:rFonts w:hint="eastAsia"/>
          <w:color w:val="000000"/>
          <w:sz w:val="28"/>
          <w:szCs w:val="28"/>
        </w:rPr>
        <w:t>引进学术带头人1名，校级</w:t>
      </w:r>
      <w:r>
        <w:rPr>
          <w:color w:val="000000"/>
          <w:sz w:val="28"/>
          <w:szCs w:val="28"/>
        </w:rPr>
        <w:t>“世承人才计划”</w:t>
      </w:r>
      <w:r>
        <w:rPr>
          <w:rFonts w:hint="eastAsia"/>
          <w:color w:val="000000"/>
          <w:sz w:val="28"/>
          <w:szCs w:val="28"/>
        </w:rPr>
        <w:t>人选1</w:t>
      </w:r>
      <w:r>
        <w:rPr>
          <w:color w:val="000000"/>
          <w:sz w:val="28"/>
          <w:szCs w:val="28"/>
        </w:rPr>
        <w:t>3</w:t>
      </w:r>
      <w:r>
        <w:rPr>
          <w:rFonts w:hint="eastAsia"/>
          <w:color w:val="000000"/>
          <w:sz w:val="28"/>
          <w:szCs w:val="28"/>
        </w:rPr>
        <w:t>人。超过一半教师具有国外访学一年及以上的经历。2</w:t>
      </w:r>
      <w:r>
        <w:rPr>
          <w:color w:val="000000"/>
          <w:sz w:val="28"/>
          <w:szCs w:val="28"/>
        </w:rPr>
        <w:t>021年</w:t>
      </w:r>
      <w:r>
        <w:rPr>
          <w:rFonts w:hint="eastAsia"/>
          <w:color w:val="000000"/>
          <w:sz w:val="28"/>
          <w:szCs w:val="28"/>
        </w:rPr>
        <w:t>本学科</w:t>
      </w:r>
      <w:r>
        <w:rPr>
          <w:color w:val="000000"/>
          <w:sz w:val="28"/>
          <w:szCs w:val="28"/>
        </w:rPr>
        <w:t>引进</w:t>
      </w:r>
      <w:r>
        <w:rPr>
          <w:rFonts w:hint="eastAsia"/>
          <w:color w:val="000000"/>
          <w:sz w:val="28"/>
          <w:szCs w:val="28"/>
        </w:rPr>
        <w:t>复旦大学优秀博士后一名</w:t>
      </w:r>
      <w:r>
        <w:rPr>
          <w:color w:val="000000"/>
          <w:sz w:val="28"/>
          <w:szCs w:val="28"/>
        </w:rPr>
        <w:t>。</w:t>
      </w:r>
      <w:r>
        <w:rPr>
          <w:rFonts w:hint="eastAsia"/>
          <w:color w:val="000000"/>
          <w:sz w:val="28"/>
          <w:szCs w:val="28"/>
        </w:rPr>
        <w:t>新增副教授和新</w:t>
      </w:r>
      <w:r>
        <w:rPr>
          <w:rFonts w:hint="eastAsia"/>
          <w:sz w:val="28"/>
          <w:szCs w:val="28"/>
        </w:rPr>
        <w:t>增入选世承计划各一名。新增</w:t>
      </w:r>
      <w:r>
        <w:rPr>
          <w:sz w:val="28"/>
          <w:szCs w:val="28"/>
        </w:rPr>
        <w:t>爱思唯尔中国高被引学者入选2人</w:t>
      </w:r>
      <w:r>
        <w:rPr>
          <w:rFonts w:hint="eastAsia"/>
          <w:sz w:val="28"/>
          <w:szCs w:val="28"/>
        </w:rPr>
        <w:t>，新增</w:t>
      </w:r>
      <w:r>
        <w:rPr>
          <w:sz w:val="28"/>
          <w:szCs w:val="28"/>
        </w:rPr>
        <w:t>全球前2%顶尖科学家入选2人</w:t>
      </w:r>
      <w:r>
        <w:rPr>
          <w:rFonts w:hint="eastAsia"/>
          <w:sz w:val="28"/>
          <w:szCs w:val="28"/>
        </w:rPr>
        <w:t>。</w:t>
      </w:r>
    </w:p>
    <w:p>
      <w:pPr>
        <w:spacing w:line="360" w:lineRule="auto"/>
        <w:rPr>
          <w:rFonts w:eastAsia="黑体"/>
          <w:sz w:val="28"/>
          <w:szCs w:val="28"/>
        </w:rPr>
      </w:pPr>
      <w:r>
        <w:rPr>
          <w:rFonts w:eastAsia="黑体"/>
          <w:sz w:val="28"/>
          <w:szCs w:val="28"/>
        </w:rPr>
        <w:t>3</w:t>
      </w:r>
      <w:r>
        <w:rPr>
          <w:rFonts w:hint="eastAsia" w:eastAsia="黑体"/>
          <w:sz w:val="28"/>
          <w:szCs w:val="28"/>
        </w:rPr>
        <w:t>、</w:t>
      </w:r>
      <w:r>
        <w:rPr>
          <w:rFonts w:eastAsia="黑体"/>
          <w:sz w:val="28"/>
          <w:szCs w:val="28"/>
        </w:rPr>
        <w:t>科学研究</w:t>
      </w:r>
    </w:p>
    <w:p>
      <w:pPr>
        <w:spacing w:line="360" w:lineRule="auto"/>
        <w:ind w:firstLine="560" w:firstLineChars="200"/>
        <w:rPr>
          <w:sz w:val="28"/>
          <w:szCs w:val="28"/>
        </w:rPr>
      </w:pPr>
      <w:r>
        <w:rPr>
          <w:rFonts w:hint="eastAsia"/>
          <w:sz w:val="28"/>
          <w:szCs w:val="28"/>
        </w:rPr>
        <w:t>本学位点</w:t>
      </w:r>
      <w:r>
        <w:rPr>
          <w:sz w:val="28"/>
          <w:szCs w:val="28"/>
        </w:rPr>
        <w:t>2021新增</w:t>
      </w:r>
      <w:r>
        <w:rPr>
          <w:rFonts w:hint="eastAsia"/>
          <w:sz w:val="28"/>
          <w:szCs w:val="28"/>
        </w:rPr>
        <w:t>湖南省</w:t>
      </w:r>
      <w:r>
        <w:rPr>
          <w:rFonts w:hint="eastAsia"/>
          <w:color w:val="333333"/>
          <w:sz w:val="27"/>
          <w:szCs w:val="27"/>
        </w:rPr>
        <w:t>科技领军人才项目1项，</w:t>
      </w:r>
      <w:r>
        <w:rPr>
          <w:sz w:val="28"/>
          <w:szCs w:val="28"/>
        </w:rPr>
        <w:t>国家自然科学基金面上项目1项，</w:t>
      </w:r>
      <w:r>
        <w:rPr>
          <w:rFonts w:hint="eastAsia"/>
          <w:sz w:val="28"/>
          <w:szCs w:val="28"/>
        </w:rPr>
        <w:t>省级项目</w:t>
      </w:r>
      <w:r>
        <w:rPr>
          <w:sz w:val="28"/>
          <w:szCs w:val="28"/>
        </w:rPr>
        <w:t>1</w:t>
      </w:r>
      <w:r>
        <w:rPr>
          <w:rFonts w:hint="eastAsia"/>
          <w:sz w:val="28"/>
          <w:szCs w:val="28"/>
        </w:rPr>
        <w:t>项，教育厅项目2项，长沙市自然科学基金1项，横向课题4项</w:t>
      </w:r>
      <w:r>
        <w:rPr>
          <w:sz w:val="28"/>
          <w:szCs w:val="28"/>
        </w:rPr>
        <w:t>。2021年爱思唯尔中国高被引学者入选2人</w:t>
      </w:r>
      <w:r>
        <w:rPr>
          <w:rFonts w:hint="eastAsia"/>
          <w:sz w:val="28"/>
          <w:szCs w:val="28"/>
        </w:rPr>
        <w:t>，</w:t>
      </w:r>
      <w:r>
        <w:rPr>
          <w:sz w:val="28"/>
          <w:szCs w:val="28"/>
        </w:rPr>
        <w:t>2021年全球前2%顶尖科学家入选2人。</w:t>
      </w:r>
      <w:r>
        <w:rPr>
          <w:rFonts w:hint="eastAsia"/>
          <w:sz w:val="28"/>
          <w:szCs w:val="28"/>
        </w:rPr>
        <w:t>2</w:t>
      </w:r>
      <w:r>
        <w:rPr>
          <w:sz w:val="28"/>
          <w:szCs w:val="28"/>
        </w:rPr>
        <w:t>021</w:t>
      </w:r>
      <w:r>
        <w:rPr>
          <w:rFonts w:hint="eastAsia"/>
          <w:sz w:val="28"/>
          <w:szCs w:val="28"/>
        </w:rPr>
        <w:t>年获湖南省自然科学一等奖一项。</w:t>
      </w:r>
    </w:p>
    <w:p>
      <w:pPr>
        <w:spacing w:line="360" w:lineRule="auto"/>
        <w:rPr>
          <w:rFonts w:eastAsia="黑体"/>
          <w:sz w:val="28"/>
          <w:szCs w:val="28"/>
        </w:rPr>
      </w:pPr>
      <w:r>
        <w:rPr>
          <w:rFonts w:eastAsia="黑体"/>
          <w:sz w:val="28"/>
          <w:szCs w:val="28"/>
        </w:rPr>
        <w:t>4</w:t>
      </w:r>
      <w:r>
        <w:rPr>
          <w:rFonts w:hint="eastAsia" w:eastAsia="黑体"/>
          <w:sz w:val="28"/>
          <w:szCs w:val="28"/>
        </w:rPr>
        <w:t>、</w:t>
      </w:r>
      <w:r>
        <w:rPr>
          <w:rFonts w:eastAsia="黑体"/>
          <w:sz w:val="28"/>
          <w:szCs w:val="28"/>
        </w:rPr>
        <w:t>平台建设等情况</w:t>
      </w:r>
    </w:p>
    <w:p>
      <w:pPr>
        <w:spacing w:line="360" w:lineRule="auto"/>
        <w:ind w:firstLine="560" w:firstLineChars="200"/>
        <w:rPr>
          <w:sz w:val="28"/>
          <w:szCs w:val="28"/>
        </w:rPr>
      </w:pPr>
      <w:r>
        <w:rPr>
          <w:sz w:val="28"/>
          <w:szCs w:val="28"/>
        </w:rPr>
        <w:t>通过“双一流”集中投入和重点建设，</w:t>
      </w:r>
      <w:r>
        <w:rPr>
          <w:rFonts w:hint="eastAsia"/>
          <w:sz w:val="28"/>
          <w:szCs w:val="28"/>
        </w:rPr>
        <w:t>本学位点</w:t>
      </w:r>
      <w:r>
        <w:rPr>
          <w:sz w:val="28"/>
          <w:szCs w:val="28"/>
        </w:rPr>
        <w:t>综合实力和社会美誉度连年攀升。</w:t>
      </w:r>
      <w:r>
        <w:rPr>
          <w:rFonts w:hint="eastAsia"/>
          <w:sz w:val="28"/>
          <w:szCs w:val="28"/>
        </w:rPr>
        <w:t>建设期内，本学科全体老师同心协力、砥砺前行，“双一流”建设成效显著。根据</w:t>
      </w:r>
      <w:r>
        <w:rPr>
          <w:sz w:val="28"/>
          <w:szCs w:val="28"/>
        </w:rPr>
        <w:t>2021年上海软科发布的“中国最好学科排名”中，我校统计学排名全国19名（全国前20%，湖南省第一），相比2020年度排名上升18名次</w:t>
      </w:r>
      <w:r>
        <w:rPr>
          <w:rFonts w:hint="eastAsia"/>
          <w:sz w:val="28"/>
          <w:szCs w:val="28"/>
        </w:rPr>
        <w:t>；</w:t>
      </w:r>
      <w:r>
        <w:rPr>
          <w:sz w:val="28"/>
          <w:szCs w:val="28"/>
        </w:rPr>
        <w:t>2020年我校统计学排名全国37名（全国前30%</w:t>
      </w:r>
      <w:r>
        <w:rPr>
          <w:rFonts w:hint="eastAsia"/>
          <w:sz w:val="28"/>
          <w:szCs w:val="28"/>
        </w:rPr>
        <w:t>，</w:t>
      </w:r>
      <w:r>
        <w:rPr>
          <w:sz w:val="28"/>
          <w:szCs w:val="28"/>
        </w:rPr>
        <w:t>湖南省</w:t>
      </w:r>
      <w:r>
        <w:rPr>
          <w:rFonts w:hint="eastAsia"/>
          <w:sz w:val="28"/>
          <w:szCs w:val="28"/>
        </w:rPr>
        <w:t>属高校</w:t>
      </w:r>
      <w:r>
        <w:rPr>
          <w:sz w:val="28"/>
          <w:szCs w:val="28"/>
        </w:rPr>
        <w:t>第一）</w:t>
      </w:r>
      <w:r>
        <w:rPr>
          <w:rFonts w:hint="eastAsia"/>
          <w:sz w:val="28"/>
          <w:szCs w:val="28"/>
        </w:rPr>
        <w:t>。同时，本年度新增复杂系统的控制与优化和应用统计与数据科学两个湖南省高校重点实验室。</w:t>
      </w:r>
    </w:p>
    <w:p>
      <w:pPr>
        <w:pStyle w:val="13"/>
        <w:numPr>
          <w:ilvl w:val="0"/>
          <w:numId w:val="1"/>
        </w:numPr>
        <w:ind w:firstLineChars="0"/>
        <w:rPr>
          <w:rFonts w:ascii="黑体" w:hAnsi="黑体" w:eastAsia="黑体"/>
          <w:sz w:val="32"/>
          <w:szCs w:val="32"/>
        </w:rPr>
      </w:pPr>
      <w:r>
        <w:rPr>
          <w:rFonts w:hint="eastAsia" w:ascii="黑体" w:hAnsi="黑体" w:eastAsia="黑体"/>
          <w:sz w:val="32"/>
          <w:szCs w:val="32"/>
        </w:rPr>
        <w:t>学位授权点人才培养情况</w:t>
      </w:r>
    </w:p>
    <w:p>
      <w:pPr>
        <w:spacing w:line="360" w:lineRule="auto"/>
        <w:rPr>
          <w:rFonts w:eastAsia="黑体"/>
          <w:sz w:val="28"/>
          <w:szCs w:val="28"/>
        </w:rPr>
      </w:pPr>
      <w:r>
        <w:rPr>
          <w:rFonts w:hint="eastAsia" w:ascii="楷体_GB2312" w:eastAsia="楷体_GB2312"/>
          <w:sz w:val="32"/>
          <w:szCs w:val="32"/>
        </w:rPr>
        <w:t xml:space="preserve">    </w:t>
      </w:r>
      <w:r>
        <w:rPr>
          <w:rFonts w:eastAsia="黑体"/>
          <w:sz w:val="28"/>
          <w:szCs w:val="28"/>
        </w:rPr>
        <w:t>1</w:t>
      </w:r>
      <w:r>
        <w:rPr>
          <w:rFonts w:hint="eastAsia" w:eastAsia="黑体"/>
          <w:sz w:val="28"/>
          <w:szCs w:val="28"/>
        </w:rPr>
        <w:t>、</w:t>
      </w:r>
      <w:r>
        <w:rPr>
          <w:rFonts w:eastAsia="黑体"/>
          <w:sz w:val="28"/>
          <w:szCs w:val="28"/>
        </w:rPr>
        <w:t>上一年度研究生党建及思政工作情况</w:t>
      </w:r>
    </w:p>
    <w:p>
      <w:pPr>
        <w:spacing w:line="360" w:lineRule="auto"/>
        <w:ind w:firstLine="560" w:firstLineChars="200"/>
        <w:rPr>
          <w:bCs/>
          <w:color w:val="000000"/>
          <w:sz w:val="28"/>
          <w:szCs w:val="28"/>
        </w:rPr>
      </w:pPr>
      <w:r>
        <w:rPr>
          <w:rFonts w:hint="eastAsia"/>
          <w:sz w:val="28"/>
          <w:szCs w:val="28"/>
        </w:rPr>
        <w:t>本</w:t>
      </w:r>
      <w:r>
        <w:rPr>
          <w:bCs/>
          <w:sz w:val="28"/>
          <w:szCs w:val="28"/>
        </w:rPr>
        <w:t>学位点</w:t>
      </w:r>
      <w:r>
        <w:rPr>
          <w:rFonts w:hint="eastAsia"/>
          <w:bCs/>
          <w:color w:val="000000"/>
          <w:sz w:val="28"/>
          <w:szCs w:val="28"/>
        </w:rPr>
        <w:t>坚持思想引领，强化“立德树人”，落实“三全”育人机制，不忘初心，以文化人、以文育人、以文铸魂，构建了“大思政”工作格局，2</w:t>
      </w:r>
      <w:r>
        <w:rPr>
          <w:bCs/>
          <w:color w:val="000000"/>
          <w:sz w:val="28"/>
          <w:szCs w:val="28"/>
        </w:rPr>
        <w:t>021</w:t>
      </w:r>
      <w:r>
        <w:rPr>
          <w:rFonts w:hint="eastAsia"/>
          <w:bCs/>
          <w:color w:val="000000"/>
          <w:sz w:val="28"/>
          <w:szCs w:val="28"/>
        </w:rPr>
        <w:t>年研究生党建及思政成效显著。</w:t>
      </w:r>
    </w:p>
    <w:p>
      <w:pPr>
        <w:spacing w:line="360" w:lineRule="auto"/>
        <w:ind w:firstLine="560" w:firstLineChars="200"/>
        <w:rPr>
          <w:bCs/>
          <w:color w:val="000000"/>
          <w:sz w:val="28"/>
          <w:szCs w:val="28"/>
        </w:rPr>
      </w:pPr>
      <w:r>
        <w:rPr>
          <w:bCs/>
          <w:color w:val="000000"/>
          <w:sz w:val="28"/>
          <w:szCs w:val="28"/>
        </w:rPr>
        <w:t>1.思政内涵方面：建立心理健康教育长效机制，定期开展心理健康教育主题活动，建立院系、</w:t>
      </w:r>
      <w:r>
        <w:rPr>
          <w:rFonts w:hint="eastAsia"/>
          <w:bCs/>
          <w:color w:val="000000"/>
          <w:sz w:val="28"/>
          <w:szCs w:val="28"/>
        </w:rPr>
        <w:t>班级、宿舍“三级”预警防控体系，有心理危机干预预案；建立“幸福原点”心理成长辅导室，长期对学生进行心理咨询和辅导；通过学院微信公众号“数计</w:t>
      </w:r>
      <w:r>
        <w:rPr>
          <w:bCs/>
          <w:color w:val="000000"/>
          <w:sz w:val="28"/>
          <w:szCs w:val="28"/>
        </w:rPr>
        <w:t>e生活”开展网络文化建设活动；与思</w:t>
      </w:r>
      <w:r>
        <w:rPr>
          <w:rFonts w:hint="eastAsia"/>
          <w:bCs/>
          <w:color w:val="000000"/>
          <w:sz w:val="28"/>
          <w:szCs w:val="28"/>
        </w:rPr>
        <w:t>齐教育集团签署“九章”数学发展基金项目，构建资助育人长效机制。</w:t>
      </w:r>
    </w:p>
    <w:p>
      <w:pPr>
        <w:spacing w:line="360" w:lineRule="auto"/>
        <w:ind w:firstLine="560" w:firstLineChars="200"/>
        <w:rPr>
          <w:bCs/>
          <w:color w:val="000000"/>
          <w:sz w:val="28"/>
          <w:szCs w:val="28"/>
        </w:rPr>
      </w:pPr>
      <w:r>
        <w:rPr>
          <w:bCs/>
          <w:color w:val="000000"/>
          <w:sz w:val="28"/>
          <w:szCs w:val="28"/>
        </w:rPr>
        <w:t>2.课程思政方面：注重将课程思政与当下热点相结合。本学科师生积极组织并参与对疫情预测、</w:t>
      </w:r>
      <w:r>
        <w:rPr>
          <w:rFonts w:hint="eastAsia"/>
          <w:bCs/>
          <w:color w:val="000000"/>
          <w:sz w:val="28"/>
          <w:szCs w:val="28"/>
        </w:rPr>
        <w:t>跟踪、防疫进行的相关研讨，感受到了统计学的学科担当、学科力量；通过引导学生认同中国在疫情防控方面采取的有效措施，客观批判地看待一些西方媒体对我们疫情防控举措的不实报道，涵养学生的家国情怀。在课程思政改革大背景下，《随机过程》、《医学统计学》、《概率论与数理统计》获批为湖南省研究生优质课程；《应用统计学》获批为湖南省高水平研究生教材建设项目；</w:t>
      </w:r>
      <w:r>
        <w:rPr>
          <w:bCs/>
          <w:color w:val="000000"/>
          <w:sz w:val="28"/>
          <w:szCs w:val="28"/>
        </w:rPr>
        <w:t xml:space="preserve"> “统</w:t>
      </w:r>
      <w:r>
        <w:rPr>
          <w:rFonts w:hint="eastAsia"/>
          <w:bCs/>
          <w:color w:val="000000"/>
          <w:sz w:val="28"/>
          <w:szCs w:val="28"/>
        </w:rPr>
        <w:t>计学及其应用”获批湖南省优秀研究生教学团队。</w:t>
      </w:r>
    </w:p>
    <w:p>
      <w:pPr>
        <w:spacing w:line="360" w:lineRule="auto"/>
        <w:ind w:firstLine="560" w:firstLineChars="200"/>
        <w:rPr>
          <w:bCs/>
          <w:color w:val="000000"/>
          <w:sz w:val="28"/>
          <w:szCs w:val="28"/>
        </w:rPr>
      </w:pPr>
      <w:r>
        <w:rPr>
          <w:bCs/>
          <w:color w:val="000000"/>
          <w:sz w:val="28"/>
          <w:szCs w:val="28"/>
        </w:rPr>
        <w:t>3.思政育人方面：2021年，学校举办了第</w:t>
      </w:r>
      <w:r>
        <w:rPr>
          <w:rFonts w:hint="eastAsia"/>
          <w:bCs/>
          <w:color w:val="000000"/>
          <w:sz w:val="28"/>
          <w:szCs w:val="28"/>
        </w:rPr>
        <w:t>二十</w:t>
      </w:r>
      <w:r>
        <w:rPr>
          <w:bCs/>
          <w:color w:val="000000"/>
          <w:sz w:val="28"/>
          <w:szCs w:val="28"/>
        </w:rPr>
        <w:t>届研究生“麓山论坛”学术年会，邀请了诺贝</w:t>
      </w:r>
      <w:r>
        <w:rPr>
          <w:rFonts w:hint="eastAsia"/>
          <w:bCs/>
          <w:color w:val="000000"/>
          <w:sz w:val="28"/>
          <w:szCs w:val="28"/>
        </w:rPr>
        <w:t>尔奖得主弗里德·穆拉德院士等多位专家学者在主论坛讲学；举办了第五届研究生辩论赛、第十七届研究生篮球联赛、邀请统计名家进课堂，宣传统计科普知识，传播统计文化。数统院举行第十七届数学文化节开幕式暨第十届国际π节。数学与统计学院研究生第三党支部组织全体党员前往新民学会旧址参观学习，开展“忆党史，听党话，跟党走”主题党日活动，进一步感受中国共产党早期艰苦卓绝的奋斗历史，在建党100周年之际重温党的革命历程，激起同学们的爱国热情与昂扬斗志。在数学与统计学院（以下简称“数统院”）学生社团管理服务中心的协助下，“计算与随机数学”教育部重点实验室在里仁楼组织开展了“体验科技魅力，弘扬数学精神”的科普宣传活动。本次科普开放日活动，唤起学生对创新科技的关注，激发学生崇尚科学、探索未知、敢于创新的热情。举行了党史学习教育动员会和开展了多次</w:t>
      </w:r>
      <w:r>
        <w:fldChar w:fldCharType="begin"/>
      </w:r>
      <w:r>
        <w:instrText xml:space="preserve"> HYPERLINK "https://mc.hunnu.edu.cn/info/1546/5715.htm" \t "_blank" </w:instrText>
      </w:r>
      <w:r>
        <w:fldChar w:fldCharType="separate"/>
      </w:r>
      <w:r>
        <w:rPr>
          <w:rFonts w:hint="eastAsia"/>
          <w:bCs/>
          <w:color w:val="000000"/>
          <w:sz w:val="28"/>
          <w:szCs w:val="28"/>
        </w:rPr>
        <w:t>党史学习活动</w:t>
      </w:r>
      <w:r>
        <w:rPr>
          <w:rFonts w:hint="eastAsia"/>
          <w:bCs/>
          <w:color w:val="000000"/>
          <w:sz w:val="28"/>
          <w:szCs w:val="28"/>
        </w:rPr>
        <w:fldChar w:fldCharType="end"/>
      </w:r>
      <w:r>
        <w:rPr>
          <w:rFonts w:hint="eastAsia"/>
          <w:bCs/>
          <w:color w:val="000000"/>
          <w:sz w:val="28"/>
          <w:szCs w:val="28"/>
        </w:rPr>
        <w:t>。</w:t>
      </w:r>
    </w:p>
    <w:p>
      <w:pPr>
        <w:spacing w:line="360" w:lineRule="auto"/>
        <w:rPr>
          <w:rFonts w:eastAsia="黑体"/>
          <w:sz w:val="28"/>
          <w:szCs w:val="28"/>
        </w:rPr>
      </w:pPr>
      <w:r>
        <w:rPr>
          <w:rFonts w:hint="eastAsia" w:eastAsia="黑体"/>
          <w:sz w:val="28"/>
          <w:szCs w:val="28"/>
        </w:rPr>
        <w:t>2、</w:t>
      </w:r>
      <w:r>
        <w:rPr>
          <w:rFonts w:eastAsia="黑体"/>
          <w:sz w:val="28"/>
          <w:szCs w:val="28"/>
        </w:rPr>
        <w:t>生源情况</w:t>
      </w:r>
    </w:p>
    <w:p>
      <w:pPr>
        <w:spacing w:line="360" w:lineRule="auto"/>
        <w:ind w:firstLine="560" w:firstLineChars="200"/>
        <w:rPr>
          <w:bCs/>
          <w:color w:val="000000" w:themeColor="text1"/>
          <w:sz w:val="28"/>
          <w:szCs w:val="28"/>
        </w:rPr>
      </w:pPr>
      <w:r>
        <w:rPr>
          <w:rFonts w:hint="eastAsia"/>
          <w:bCs/>
          <w:color w:val="000000" w:themeColor="text1"/>
          <w:sz w:val="28"/>
          <w:szCs w:val="28"/>
        </w:rPr>
        <w:t>本学位点重视研究生宣传工作，定期在研究生院微信公众号发布招生宣传信息，配合学院、学校到知名大学举办招生宣传会，多方位提高招生咨询服务工作质量。近年来统计学研究生的报考热度持续稳步上升，2</w:t>
      </w:r>
      <w:r>
        <w:rPr>
          <w:bCs/>
          <w:color w:val="000000" w:themeColor="text1"/>
          <w:sz w:val="28"/>
          <w:szCs w:val="28"/>
        </w:rPr>
        <w:t>021</w:t>
      </w:r>
      <w:r>
        <w:rPr>
          <w:rFonts w:hint="eastAsia"/>
          <w:bCs/>
          <w:color w:val="000000" w:themeColor="text1"/>
          <w:sz w:val="28"/>
          <w:szCs w:val="28"/>
        </w:rPr>
        <w:t>年的硕士研究生报考人数为</w:t>
      </w:r>
      <w:r>
        <w:rPr>
          <w:bCs/>
          <w:color w:val="000000" w:themeColor="text1"/>
          <w:sz w:val="28"/>
          <w:szCs w:val="28"/>
        </w:rPr>
        <w:t>58</w:t>
      </w:r>
      <w:r>
        <w:rPr>
          <w:rFonts w:hint="eastAsia"/>
          <w:bCs/>
          <w:color w:val="000000" w:themeColor="text1"/>
          <w:sz w:val="28"/>
          <w:szCs w:val="28"/>
        </w:rPr>
        <w:t>人，录取</w:t>
      </w:r>
      <w:r>
        <w:rPr>
          <w:bCs/>
          <w:color w:val="000000" w:themeColor="text1"/>
          <w:sz w:val="28"/>
          <w:szCs w:val="28"/>
        </w:rPr>
        <w:t>12</w:t>
      </w:r>
      <w:r>
        <w:rPr>
          <w:rFonts w:hint="eastAsia"/>
          <w:bCs/>
          <w:color w:val="000000" w:themeColor="text1"/>
          <w:sz w:val="28"/>
          <w:szCs w:val="28"/>
        </w:rPr>
        <w:t>人，博士研究生报考人数5人，录取4人</w:t>
      </w:r>
      <w:r>
        <w:rPr>
          <w:bCs/>
          <w:color w:val="000000" w:themeColor="text1"/>
          <w:sz w:val="28"/>
          <w:szCs w:val="28"/>
        </w:rPr>
        <w:t>。推荐免试生的招收力度也在逐步加大，推免生人数占比呈现逐渐上升的趋势，总体生源质量</w:t>
      </w:r>
      <w:r>
        <w:rPr>
          <w:rFonts w:hint="eastAsia"/>
          <w:bCs/>
          <w:color w:val="000000" w:themeColor="text1"/>
          <w:sz w:val="28"/>
          <w:szCs w:val="28"/>
        </w:rPr>
        <w:t>较大幅度提高</w:t>
      </w:r>
      <w:r>
        <w:rPr>
          <w:bCs/>
          <w:color w:val="000000" w:themeColor="text1"/>
          <w:sz w:val="28"/>
          <w:szCs w:val="28"/>
        </w:rPr>
        <w:t>；较多 211 工程</w:t>
      </w:r>
      <w:r>
        <w:rPr>
          <w:rFonts w:hint="eastAsia"/>
          <w:bCs/>
          <w:color w:val="000000" w:themeColor="text1"/>
          <w:sz w:val="28"/>
          <w:szCs w:val="28"/>
        </w:rPr>
        <w:t>和一本院校考生都愿意报考或调剂到我校攻读学位。在后续的工作中，我们将进一步优化师资结构和课程培养体系，从提高学生的培养质量这一根本点出发来提升生源质量。</w:t>
      </w:r>
    </w:p>
    <w:p>
      <w:pPr>
        <w:spacing w:line="360" w:lineRule="auto"/>
        <w:rPr>
          <w:rFonts w:eastAsia="黑体"/>
          <w:sz w:val="28"/>
          <w:szCs w:val="28"/>
        </w:rPr>
      </w:pPr>
      <w:r>
        <w:rPr>
          <w:rFonts w:hint="eastAsia" w:eastAsia="黑体"/>
          <w:sz w:val="28"/>
          <w:szCs w:val="28"/>
        </w:rPr>
        <w:t>3、</w:t>
      </w:r>
      <w:r>
        <w:rPr>
          <w:rFonts w:eastAsia="黑体"/>
          <w:sz w:val="28"/>
          <w:szCs w:val="28"/>
        </w:rPr>
        <w:t>招生规模和结构</w:t>
      </w:r>
    </w:p>
    <w:p>
      <w:pPr>
        <w:spacing w:line="360" w:lineRule="auto"/>
        <w:ind w:firstLine="560" w:firstLineChars="200"/>
        <w:rPr>
          <w:bCs/>
          <w:color w:val="000000" w:themeColor="text1"/>
          <w:sz w:val="28"/>
          <w:szCs w:val="28"/>
        </w:rPr>
      </w:pPr>
      <w:r>
        <w:rPr>
          <w:bCs/>
          <w:color w:val="000000" w:themeColor="text1"/>
          <w:sz w:val="28"/>
          <w:szCs w:val="28"/>
        </w:rPr>
        <w:t>2021</w:t>
      </w:r>
      <w:r>
        <w:rPr>
          <w:rFonts w:hint="eastAsia"/>
          <w:bCs/>
          <w:color w:val="000000" w:themeColor="text1"/>
          <w:sz w:val="28"/>
          <w:szCs w:val="28"/>
        </w:rPr>
        <w:t>年</w:t>
      </w:r>
      <w:r>
        <w:rPr>
          <w:bCs/>
          <w:color w:val="000000" w:themeColor="text1"/>
          <w:sz w:val="28"/>
          <w:szCs w:val="28"/>
        </w:rPr>
        <w:t>硕士生报考人数58人，录取人数12人，录取比例20.7%。报考考生省外生源地有：</w:t>
      </w:r>
      <w:r>
        <w:rPr>
          <w:rFonts w:hint="eastAsia"/>
          <w:bCs/>
          <w:color w:val="000000" w:themeColor="text1"/>
          <w:sz w:val="28"/>
          <w:szCs w:val="28"/>
        </w:rPr>
        <w:t>江西理工大学、河南理工大学、河南师范大学、安徽农业大学、湖北师范大学、齐齐哈尔大学、北方工业大学、成都大学</w:t>
      </w:r>
      <w:r>
        <w:rPr>
          <w:bCs/>
          <w:color w:val="000000" w:themeColor="text1"/>
          <w:sz w:val="28"/>
          <w:szCs w:val="28"/>
        </w:rPr>
        <w:t xml:space="preserve">等学校。省内生源地有： </w:t>
      </w:r>
      <w:r>
        <w:rPr>
          <w:rFonts w:hint="eastAsia"/>
          <w:bCs/>
          <w:color w:val="000000" w:themeColor="text1"/>
          <w:sz w:val="28"/>
          <w:szCs w:val="28"/>
        </w:rPr>
        <w:t>湖南师范大学</w:t>
      </w:r>
      <w:r>
        <w:rPr>
          <w:bCs/>
          <w:color w:val="000000" w:themeColor="text1"/>
          <w:sz w:val="28"/>
          <w:szCs w:val="28"/>
        </w:rPr>
        <w:t>、</w:t>
      </w:r>
      <w:r>
        <w:rPr>
          <w:rFonts w:hint="eastAsia"/>
          <w:bCs/>
          <w:color w:val="000000" w:themeColor="text1"/>
          <w:sz w:val="28"/>
          <w:szCs w:val="28"/>
        </w:rPr>
        <w:t>湘潭大学、湖南中医药大学、吉首大学、湖南科技大学、湖南工商大学、湖南工业大学</w:t>
      </w:r>
      <w:r>
        <w:rPr>
          <w:bCs/>
          <w:color w:val="000000" w:themeColor="text1"/>
          <w:sz w:val="28"/>
          <w:szCs w:val="28"/>
        </w:rPr>
        <w:t xml:space="preserve">等学校。2021年博士生报考人数5人，录取人数 4人，录取比例80%。 </w:t>
      </w:r>
    </w:p>
    <w:p>
      <w:pPr>
        <w:spacing w:after="156" w:afterLines="50" w:line="360" w:lineRule="auto"/>
        <w:rPr>
          <w:rFonts w:eastAsia="黑体"/>
          <w:sz w:val="28"/>
          <w:szCs w:val="28"/>
        </w:rPr>
      </w:pPr>
      <w:r>
        <w:rPr>
          <w:rFonts w:eastAsia="黑体"/>
          <w:sz w:val="28"/>
          <w:szCs w:val="28"/>
        </w:rPr>
        <w:t>4</w:t>
      </w:r>
      <w:r>
        <w:rPr>
          <w:rFonts w:hint="eastAsia" w:eastAsia="黑体"/>
          <w:sz w:val="28"/>
          <w:szCs w:val="28"/>
        </w:rPr>
        <w:t>、</w:t>
      </w:r>
      <w:r>
        <w:rPr>
          <w:rFonts w:eastAsia="黑体"/>
          <w:sz w:val="28"/>
          <w:szCs w:val="28"/>
        </w:rPr>
        <w:t>课程教学改革和建设情况</w:t>
      </w:r>
    </w:p>
    <w:p>
      <w:pPr>
        <w:snapToGrid w:val="0"/>
        <w:spacing w:line="360" w:lineRule="auto"/>
        <w:ind w:firstLine="602" w:firstLineChars="215"/>
        <w:rPr>
          <w:bCs/>
          <w:sz w:val="28"/>
          <w:szCs w:val="28"/>
        </w:rPr>
      </w:pPr>
      <w:r>
        <w:rPr>
          <w:rFonts w:hint="eastAsia"/>
          <w:sz w:val="28"/>
          <w:szCs w:val="28"/>
        </w:rPr>
        <w:t>本</w:t>
      </w:r>
      <w:r>
        <w:rPr>
          <w:bCs/>
          <w:sz w:val="28"/>
          <w:szCs w:val="28"/>
        </w:rPr>
        <w:t>学位点</w:t>
      </w:r>
      <w:r>
        <w:rPr>
          <w:rFonts w:hint="eastAsia"/>
          <w:bCs/>
          <w:sz w:val="28"/>
          <w:szCs w:val="28"/>
        </w:rPr>
        <w:t>高度重视课程建设、教学工作及教学管理等各个方面。在课程建设方面，积极鼓励教师申报相关课程项目、教改项目，探索教学新思路、新方法。近</w:t>
      </w:r>
      <w:r>
        <w:rPr>
          <w:bCs/>
          <w:sz w:val="28"/>
          <w:szCs w:val="28"/>
        </w:rPr>
        <w:t>5年共主持6项省级教改类项目</w:t>
      </w:r>
      <w:r>
        <w:rPr>
          <w:rFonts w:hint="eastAsia"/>
          <w:bCs/>
          <w:sz w:val="28"/>
          <w:szCs w:val="28"/>
        </w:rPr>
        <w:t>。在教学管理方面，严格遵守考勤制度及教学制度，要求教师与学生提前</w:t>
      </w:r>
      <w:r>
        <w:rPr>
          <w:bCs/>
          <w:sz w:val="28"/>
          <w:szCs w:val="28"/>
        </w:rPr>
        <w:t>10分钟进入</w:t>
      </w:r>
      <w:r>
        <w:rPr>
          <w:rFonts w:hint="eastAsia"/>
          <w:bCs/>
          <w:sz w:val="28"/>
          <w:szCs w:val="28"/>
        </w:rPr>
        <w:t>教室</w:t>
      </w:r>
      <w:r>
        <w:rPr>
          <w:bCs/>
          <w:sz w:val="28"/>
          <w:szCs w:val="28"/>
        </w:rPr>
        <w:t>准备上课，不得迟到、早退</w:t>
      </w:r>
      <w:r>
        <w:rPr>
          <w:rFonts w:hint="eastAsia"/>
          <w:bCs/>
          <w:sz w:val="28"/>
          <w:szCs w:val="28"/>
        </w:rPr>
        <w:t>，不得在课上接听手机</w:t>
      </w:r>
      <w:r>
        <w:rPr>
          <w:bCs/>
          <w:sz w:val="28"/>
          <w:szCs w:val="28"/>
        </w:rPr>
        <w:t>。在教学质量管控和评价方面，</w:t>
      </w:r>
      <w:r>
        <w:rPr>
          <w:rFonts w:hint="eastAsia"/>
          <w:bCs/>
          <w:sz w:val="28"/>
          <w:szCs w:val="28"/>
        </w:rPr>
        <w:t>定期组织本专业在职老师互相听课，每学期互相听课不得少于5次，交流教学中存在的问题，做到优势互补。同时，每学期会请本学科退休教师多次随堂听课，指出存在的不足，帮助年轻老师提高教学技能；在学期中召开学生座谈会，收集学生关于上课的意见和反馈，并以此督促老师及时提高和改进教学方式、提升教学能力、改善教学成果。</w:t>
      </w:r>
    </w:p>
    <w:p>
      <w:pPr>
        <w:spacing w:line="360" w:lineRule="auto"/>
        <w:rPr>
          <w:rFonts w:eastAsia="黑体"/>
          <w:sz w:val="28"/>
          <w:szCs w:val="28"/>
        </w:rPr>
      </w:pPr>
      <w:r>
        <w:rPr>
          <w:rFonts w:eastAsia="黑体"/>
          <w:sz w:val="28"/>
          <w:szCs w:val="28"/>
        </w:rPr>
        <w:t>5</w:t>
      </w:r>
      <w:r>
        <w:rPr>
          <w:rFonts w:hint="eastAsia" w:eastAsia="黑体"/>
          <w:sz w:val="28"/>
          <w:szCs w:val="28"/>
        </w:rPr>
        <w:t>、</w:t>
      </w:r>
      <w:r>
        <w:rPr>
          <w:rFonts w:eastAsia="黑体"/>
          <w:sz w:val="28"/>
          <w:szCs w:val="28"/>
        </w:rPr>
        <w:t>研究生教育创新工程和专业能力提升工程项目的实施和成效情况</w:t>
      </w:r>
    </w:p>
    <w:p>
      <w:pPr>
        <w:spacing w:line="360" w:lineRule="auto"/>
        <w:ind w:firstLine="560" w:firstLineChars="200"/>
        <w:jc w:val="both"/>
        <w:rPr>
          <w:bCs/>
          <w:sz w:val="28"/>
          <w:szCs w:val="28"/>
        </w:rPr>
      </w:pPr>
      <w:r>
        <w:rPr>
          <w:bCs/>
          <w:sz w:val="28"/>
          <w:szCs w:val="28"/>
        </w:rPr>
        <w:t>研究生教育创新工程和专业能力提升工程项目</w:t>
      </w:r>
      <w:r>
        <w:rPr>
          <w:rFonts w:hint="eastAsia"/>
          <w:bCs/>
          <w:sz w:val="28"/>
          <w:szCs w:val="28"/>
        </w:rPr>
        <w:t>主要通过平台基地建设、学科竞赛以项目申报以及党建思政体现。2</w:t>
      </w:r>
      <w:r>
        <w:rPr>
          <w:bCs/>
          <w:sz w:val="28"/>
          <w:szCs w:val="28"/>
        </w:rPr>
        <w:t>021</w:t>
      </w:r>
      <w:r>
        <w:rPr>
          <w:rFonts w:hint="eastAsia"/>
          <w:bCs/>
          <w:sz w:val="28"/>
          <w:szCs w:val="28"/>
        </w:rPr>
        <w:t>年度，本学位点在以下方面取得一些成绩。</w:t>
      </w:r>
    </w:p>
    <w:p>
      <w:pPr>
        <w:spacing w:line="360" w:lineRule="auto"/>
        <w:ind w:firstLine="560" w:firstLineChars="200"/>
        <w:jc w:val="both"/>
        <w:rPr>
          <w:bCs/>
          <w:sz w:val="28"/>
          <w:szCs w:val="28"/>
        </w:rPr>
      </w:pPr>
      <w:r>
        <w:rPr>
          <w:rFonts w:hint="eastAsia"/>
          <w:bCs/>
          <w:sz w:val="28"/>
          <w:szCs w:val="28"/>
        </w:rPr>
        <w:t>学科竞赛方面，本</w:t>
      </w:r>
      <w:r>
        <w:rPr>
          <w:bCs/>
          <w:sz w:val="28"/>
          <w:szCs w:val="28"/>
        </w:rPr>
        <w:t>学位点</w:t>
      </w:r>
      <w:r>
        <w:rPr>
          <w:rFonts w:hint="eastAsia"/>
          <w:bCs/>
          <w:sz w:val="28"/>
          <w:szCs w:val="28"/>
        </w:rPr>
        <w:t>欧辉老师、周杰明老师和曾杏元老师带队，每年寒暑假均会对研究生进行集中无偿培训。2</w:t>
      </w:r>
      <w:r>
        <w:rPr>
          <w:bCs/>
          <w:sz w:val="28"/>
          <w:szCs w:val="28"/>
        </w:rPr>
        <w:t>021</w:t>
      </w:r>
      <w:r>
        <w:rPr>
          <w:rFonts w:hint="eastAsia"/>
          <w:bCs/>
          <w:sz w:val="28"/>
          <w:szCs w:val="28"/>
        </w:rPr>
        <w:t>年，欧辉老师带队获“华为杯”第十八届中国研究生数学建模竞赛二等奖1项、三等奖2</w:t>
      </w:r>
      <w:r>
        <w:rPr>
          <w:bCs/>
          <w:sz w:val="28"/>
          <w:szCs w:val="28"/>
        </w:rPr>
        <w:t>项</w:t>
      </w:r>
      <w:r>
        <w:rPr>
          <w:rFonts w:hint="eastAsia"/>
          <w:bCs/>
          <w:sz w:val="28"/>
          <w:szCs w:val="28"/>
        </w:rPr>
        <w:t>，“正大杯”第11届全国大学生市场调查与分析大赛研究生组三等奖</w:t>
      </w:r>
      <w:r>
        <w:rPr>
          <w:bCs/>
          <w:sz w:val="28"/>
          <w:szCs w:val="28"/>
        </w:rPr>
        <w:t>；</w:t>
      </w:r>
      <w:r>
        <w:rPr>
          <w:rFonts w:hint="eastAsia"/>
          <w:bCs/>
          <w:sz w:val="28"/>
          <w:szCs w:val="28"/>
        </w:rPr>
        <w:t>周杰明老师带队获</w:t>
      </w:r>
      <w:r>
        <w:rPr>
          <w:bCs/>
          <w:sz w:val="28"/>
          <w:szCs w:val="28"/>
        </w:rPr>
        <w:t>“2021高教社杯全国大学生数学建模竞赛”</w:t>
      </w:r>
      <w:r>
        <w:rPr>
          <w:rFonts w:hint="eastAsia"/>
          <w:bCs/>
          <w:sz w:val="28"/>
          <w:szCs w:val="28"/>
        </w:rPr>
        <w:t>一等奖1项；</w:t>
      </w:r>
      <w:r>
        <w:rPr>
          <w:bCs/>
          <w:sz w:val="28"/>
          <w:szCs w:val="28"/>
        </w:rPr>
        <w:t>曾杏元老师带队获</w:t>
      </w:r>
      <w:r>
        <w:rPr>
          <w:rFonts w:hint="eastAsia"/>
          <w:bCs/>
          <w:sz w:val="28"/>
          <w:szCs w:val="28"/>
        </w:rPr>
        <w:t>“华为杯”第十八届中国研究生数学建模竞赛二等奖和三等奖各1</w:t>
      </w:r>
      <w:r>
        <w:rPr>
          <w:bCs/>
          <w:sz w:val="28"/>
          <w:szCs w:val="28"/>
        </w:rPr>
        <w:t>项</w:t>
      </w:r>
      <w:r>
        <w:rPr>
          <w:rFonts w:hint="eastAsia"/>
          <w:bCs/>
          <w:sz w:val="28"/>
          <w:szCs w:val="28"/>
        </w:rPr>
        <w:t>，第六届湖南省大学生数学建模竞赛一等奖2项、三等奖1项，</w:t>
      </w:r>
      <w:r>
        <w:rPr>
          <w:bCs/>
          <w:sz w:val="28"/>
          <w:szCs w:val="28"/>
        </w:rPr>
        <w:t>“2021高教社杯全国大学生数学建模竞赛”</w:t>
      </w:r>
      <w:r>
        <w:rPr>
          <w:rFonts w:hint="eastAsia"/>
          <w:bCs/>
          <w:sz w:val="28"/>
          <w:szCs w:val="28"/>
        </w:rPr>
        <w:t>一等奖1项。几乎所有研究生都有参加统计各种类型的建模大赛。</w:t>
      </w:r>
    </w:p>
    <w:p>
      <w:pPr>
        <w:spacing w:line="360" w:lineRule="auto"/>
        <w:ind w:firstLine="560" w:firstLineChars="200"/>
        <w:jc w:val="both"/>
        <w:rPr>
          <w:sz w:val="28"/>
          <w:szCs w:val="28"/>
        </w:rPr>
      </w:pPr>
      <w:r>
        <w:rPr>
          <w:rFonts w:hint="eastAsia"/>
          <w:bCs/>
          <w:sz w:val="28"/>
          <w:szCs w:val="28"/>
        </w:rPr>
        <w:t>科研方面，2</w:t>
      </w:r>
      <w:r>
        <w:rPr>
          <w:bCs/>
          <w:sz w:val="28"/>
          <w:szCs w:val="28"/>
        </w:rPr>
        <w:t>021</w:t>
      </w:r>
      <w:r>
        <w:rPr>
          <w:rFonts w:hint="eastAsia"/>
          <w:bCs/>
          <w:sz w:val="28"/>
          <w:szCs w:val="28"/>
        </w:rPr>
        <w:t>年研究生共发表SCI</w:t>
      </w:r>
      <w:r>
        <w:rPr>
          <w:bCs/>
          <w:sz w:val="28"/>
          <w:szCs w:val="28"/>
        </w:rPr>
        <w:t>\SSCI\CSSCI</w:t>
      </w:r>
      <w:r>
        <w:rPr>
          <w:rFonts w:hint="eastAsia"/>
          <w:bCs/>
          <w:sz w:val="28"/>
          <w:szCs w:val="28"/>
        </w:rPr>
        <w:t>\</w:t>
      </w:r>
      <w:r>
        <w:rPr>
          <w:bCs/>
          <w:sz w:val="28"/>
          <w:szCs w:val="28"/>
        </w:rPr>
        <w:t>CSCD</w:t>
      </w:r>
      <w:r>
        <w:rPr>
          <w:rFonts w:hint="eastAsia"/>
          <w:bCs/>
          <w:sz w:val="28"/>
          <w:szCs w:val="28"/>
        </w:rPr>
        <w:t>源刊论文</w:t>
      </w:r>
      <w:r>
        <w:rPr>
          <w:bCs/>
          <w:sz w:val="28"/>
          <w:szCs w:val="28"/>
        </w:rPr>
        <w:t>27</w:t>
      </w:r>
      <w:r>
        <w:rPr>
          <w:rFonts w:hint="eastAsia"/>
          <w:bCs/>
          <w:sz w:val="28"/>
          <w:szCs w:val="28"/>
        </w:rPr>
        <w:t>篇，与2</w:t>
      </w:r>
      <w:r>
        <w:rPr>
          <w:bCs/>
          <w:sz w:val="28"/>
          <w:szCs w:val="28"/>
        </w:rPr>
        <w:t>020</w:t>
      </w:r>
      <w:r>
        <w:rPr>
          <w:rFonts w:hint="eastAsia"/>
          <w:bCs/>
          <w:sz w:val="28"/>
          <w:szCs w:val="28"/>
        </w:rPr>
        <w:t>年基本持平。发表期刊包括</w:t>
      </w:r>
      <w:r>
        <w:rPr>
          <w:bCs/>
          <w:sz w:val="28"/>
          <w:szCs w:val="28"/>
        </w:rPr>
        <w:t>Applied Economics</w:t>
      </w:r>
      <w:r>
        <w:rPr>
          <w:rFonts w:hint="eastAsia"/>
          <w:bCs/>
          <w:sz w:val="28"/>
          <w:szCs w:val="28"/>
        </w:rPr>
        <w:t>、</w:t>
      </w:r>
      <w:r>
        <w:rPr>
          <w:bCs/>
          <w:sz w:val="28"/>
          <w:szCs w:val="28"/>
        </w:rPr>
        <w:t>Brain Imaging and Behavior</w:t>
      </w:r>
      <w:r>
        <w:rPr>
          <w:rFonts w:hint="eastAsia"/>
          <w:bCs/>
          <w:sz w:val="28"/>
          <w:szCs w:val="28"/>
        </w:rPr>
        <w:t>、</w:t>
      </w:r>
      <w:r>
        <w:rPr>
          <w:bCs/>
          <w:sz w:val="28"/>
          <w:szCs w:val="28"/>
        </w:rPr>
        <w:t>Journal of the Asia Pacific Economy</w:t>
      </w:r>
      <w:r>
        <w:rPr>
          <w:rFonts w:hint="eastAsia"/>
          <w:bCs/>
          <w:sz w:val="28"/>
          <w:szCs w:val="28"/>
        </w:rPr>
        <w:t>、中国公共卫生等知名中外文期刊。</w:t>
      </w:r>
    </w:p>
    <w:p>
      <w:pPr>
        <w:spacing w:after="156" w:afterLines="50" w:line="360" w:lineRule="auto"/>
        <w:rPr>
          <w:rFonts w:eastAsia="黑体"/>
          <w:sz w:val="28"/>
          <w:szCs w:val="28"/>
        </w:rPr>
      </w:pPr>
      <w:r>
        <w:rPr>
          <w:rFonts w:eastAsia="黑体"/>
          <w:sz w:val="28"/>
          <w:szCs w:val="28"/>
        </w:rPr>
        <w:t>6</w:t>
      </w:r>
      <w:r>
        <w:rPr>
          <w:rFonts w:hint="eastAsia" w:eastAsia="黑体"/>
          <w:sz w:val="28"/>
          <w:szCs w:val="28"/>
        </w:rPr>
        <w:t>、</w:t>
      </w:r>
      <w:r>
        <w:rPr>
          <w:rFonts w:eastAsia="黑体"/>
          <w:sz w:val="28"/>
          <w:szCs w:val="28"/>
        </w:rPr>
        <w:t>学术训练与学术交流情况</w:t>
      </w:r>
    </w:p>
    <w:p>
      <w:pPr>
        <w:snapToGrid w:val="0"/>
        <w:spacing w:line="360" w:lineRule="auto"/>
        <w:ind w:firstLine="560" w:firstLineChars="200"/>
        <w:rPr>
          <w:bCs/>
          <w:sz w:val="28"/>
          <w:szCs w:val="28"/>
        </w:rPr>
      </w:pPr>
      <w:r>
        <w:rPr>
          <w:bCs/>
          <w:sz w:val="28"/>
          <w:szCs w:val="28"/>
        </w:rPr>
        <w:t>为进一步增强我校研究生学术氛围，</w:t>
      </w:r>
      <w:r>
        <w:rPr>
          <w:rFonts w:hint="eastAsia"/>
          <w:bCs/>
          <w:sz w:val="28"/>
          <w:szCs w:val="28"/>
        </w:rPr>
        <w:t>2</w:t>
      </w:r>
      <w:r>
        <w:rPr>
          <w:bCs/>
          <w:sz w:val="28"/>
          <w:szCs w:val="28"/>
        </w:rPr>
        <w:t>021</w:t>
      </w:r>
      <w:r>
        <w:rPr>
          <w:rFonts w:hint="eastAsia"/>
          <w:bCs/>
          <w:sz w:val="28"/>
          <w:szCs w:val="28"/>
        </w:rPr>
        <w:t>年，</w:t>
      </w:r>
      <w:r>
        <w:rPr>
          <w:bCs/>
          <w:sz w:val="28"/>
          <w:szCs w:val="28"/>
        </w:rPr>
        <w:t>本学位点积极组织和鼓励研究生参加国际国内学术会议、听取专家学术报告、组织学术沙龙、研究生学术论坛</w:t>
      </w:r>
      <w:r>
        <w:rPr>
          <w:rFonts w:hint="eastAsia"/>
          <w:bCs/>
          <w:sz w:val="28"/>
          <w:szCs w:val="28"/>
        </w:rPr>
        <w:t>、</w:t>
      </w:r>
      <w:r>
        <w:rPr>
          <w:bCs/>
          <w:sz w:val="28"/>
          <w:szCs w:val="28"/>
        </w:rPr>
        <w:t>参加学科竞赛等方式促进研究生学术交流</w:t>
      </w:r>
      <w:r>
        <w:rPr>
          <w:rFonts w:hint="eastAsia"/>
          <w:bCs/>
          <w:sz w:val="28"/>
          <w:szCs w:val="28"/>
        </w:rPr>
        <w:t>和加强学术训练</w:t>
      </w:r>
      <w:r>
        <w:rPr>
          <w:bCs/>
          <w:sz w:val="28"/>
          <w:szCs w:val="28"/>
        </w:rPr>
        <w:t>。</w:t>
      </w:r>
    </w:p>
    <w:p>
      <w:pPr>
        <w:widowControl w:val="0"/>
        <w:ind w:firstLine="560" w:firstLineChars="200"/>
        <w:jc w:val="both"/>
        <w:rPr>
          <w:bCs/>
          <w:sz w:val="28"/>
          <w:szCs w:val="28"/>
        </w:rPr>
      </w:pPr>
      <w:r>
        <w:rPr>
          <w:rFonts w:hint="eastAsia"/>
          <w:bCs/>
          <w:sz w:val="28"/>
          <w:szCs w:val="28"/>
        </w:rPr>
        <w:t>学术报告方面，本</w:t>
      </w:r>
      <w:r>
        <w:rPr>
          <w:bCs/>
          <w:sz w:val="28"/>
          <w:szCs w:val="28"/>
        </w:rPr>
        <w:t>学位点</w:t>
      </w:r>
      <w:r>
        <w:rPr>
          <w:rFonts w:hint="eastAsia"/>
          <w:bCs/>
          <w:sz w:val="28"/>
          <w:szCs w:val="28"/>
        </w:rPr>
        <w:t>邀请了国内外知名学者来我系进行学术报告。邀请长江学者特聘教授、江西财经大学讲席教授邱东教授开展题为《GDP的十大疑题与其经济统计学启示》的学术报告。邀请湖南大学朱慧敏教授开展题为《贝叶斯统计与贝叶斯计量经济模型》的学术报告。邀请国际知名的概率论专家，英国曼彻斯特大学张土生教授开展题为《Reflected Brownian motion with measure-valued drift》的学术报告。邀请教育部长江学者特聘教授，云南财经大学统计学科首席教授石磊教授开展题为《实验及数据驱动的合作行为决策 -- 基于多学科的的交叉研究》的学术报告。邀请上海交通大学张登副教授开展题为《Construction of minimal mass blow-up solutions to stochastic nonlinear Schrödinger equations》的学术报告。邀请中国人民大学朱利平教授开展题为《非线性相依关系的度量和独立性检验》的学术报告。邀请美国华盛顿大学陈振庆教授开展题为《从微观到宏观：概率与偏微分方程》的学术报告。邀请南方科技大学田国梁教授开展题为《应用逆向思维和发散思维导出高斯密度函数和解决带正性约束之线性逆问题》的学术报告。邀请四川大学吕琦教授开展题为《Controllability for Stochastic Partial Differential Equations》的学术报告。邀请南方科技大学田国梁教授开展题为《The normalized expectation-maximization (N-EM) algorithm》的学术报告。</w:t>
      </w:r>
    </w:p>
    <w:p>
      <w:pPr>
        <w:snapToGrid w:val="0"/>
        <w:spacing w:line="360" w:lineRule="auto"/>
        <w:ind w:firstLine="560" w:firstLineChars="200"/>
        <w:rPr>
          <w:bCs/>
          <w:sz w:val="28"/>
          <w:szCs w:val="28"/>
        </w:rPr>
      </w:pPr>
      <w:r>
        <w:rPr>
          <w:rFonts w:hint="eastAsia"/>
          <w:bCs/>
          <w:sz w:val="28"/>
          <w:szCs w:val="28"/>
        </w:rPr>
        <w:t>此外，本</w:t>
      </w:r>
      <w:r>
        <w:rPr>
          <w:bCs/>
          <w:sz w:val="28"/>
          <w:szCs w:val="28"/>
        </w:rPr>
        <w:t>学位点</w:t>
      </w:r>
      <w:r>
        <w:rPr>
          <w:rFonts w:hint="eastAsia"/>
          <w:bCs/>
          <w:sz w:val="28"/>
          <w:szCs w:val="28"/>
        </w:rPr>
        <w:t>郭水霞教授、李科教授常年组织学术讨论班，极大的提高的了研究生的研究视野和学术品味，吸引了院内和院外多数老师和学生进组参加学术讨论活动，在全校和省内颇具影响力。尤其是2</w:t>
      </w:r>
      <w:r>
        <w:rPr>
          <w:bCs/>
          <w:sz w:val="28"/>
          <w:szCs w:val="28"/>
        </w:rPr>
        <w:t>021</w:t>
      </w:r>
      <w:r>
        <w:rPr>
          <w:rFonts w:hint="eastAsia"/>
          <w:bCs/>
          <w:sz w:val="28"/>
          <w:szCs w:val="28"/>
        </w:rPr>
        <w:t>年，“碳达峰、碳中和”成为学术研究热点问题，发展绿色经济、建设绿色社会，逐步实现“碳中和”成为我国未来发展的重要议题。李科教授的学术研究成果受到省里相关部门的高度关注。同时，李科教授团队与湖南联创低碳经济发展中心合作开设了一门关于碳核算的短期课程。</w:t>
      </w:r>
    </w:p>
    <w:p>
      <w:pPr>
        <w:spacing w:after="156" w:afterLines="50" w:line="360" w:lineRule="auto"/>
        <w:rPr>
          <w:rFonts w:eastAsia="黑体"/>
          <w:sz w:val="28"/>
          <w:szCs w:val="28"/>
        </w:rPr>
      </w:pPr>
      <w:r>
        <w:rPr>
          <w:rFonts w:eastAsia="黑体"/>
          <w:sz w:val="28"/>
          <w:szCs w:val="28"/>
        </w:rPr>
        <w:t>7</w:t>
      </w:r>
      <w:r>
        <w:rPr>
          <w:rFonts w:hint="eastAsia" w:eastAsia="黑体"/>
          <w:sz w:val="28"/>
          <w:szCs w:val="28"/>
        </w:rPr>
        <w:t>、</w:t>
      </w:r>
      <w:r>
        <w:rPr>
          <w:rFonts w:eastAsia="黑体"/>
          <w:sz w:val="28"/>
          <w:szCs w:val="28"/>
        </w:rPr>
        <w:t>学位论文质量保障体系建设情况</w:t>
      </w:r>
    </w:p>
    <w:p>
      <w:pPr>
        <w:snapToGrid w:val="0"/>
        <w:spacing w:line="360" w:lineRule="auto"/>
        <w:ind w:firstLine="602" w:firstLineChars="215"/>
        <w:rPr>
          <w:bCs/>
          <w:sz w:val="28"/>
          <w:szCs w:val="28"/>
        </w:rPr>
      </w:pPr>
      <w:r>
        <w:rPr>
          <w:bCs/>
          <w:sz w:val="28"/>
          <w:szCs w:val="28"/>
        </w:rPr>
        <w:t>本学位点的学位论文注重学科方法在行业中的应用，也重视学科方法与理论方面的创新与发展，达到了培养的要求。论文的重复率低，取得了令人满意的效果。</w:t>
      </w:r>
    </w:p>
    <w:p>
      <w:pPr>
        <w:snapToGrid w:val="0"/>
        <w:spacing w:line="360" w:lineRule="auto"/>
        <w:ind w:firstLine="560" w:firstLineChars="200"/>
        <w:rPr>
          <w:bCs/>
          <w:sz w:val="28"/>
          <w:szCs w:val="28"/>
        </w:rPr>
      </w:pPr>
      <w:r>
        <w:rPr>
          <w:rFonts w:hint="eastAsia"/>
          <w:bCs/>
          <w:sz w:val="28"/>
          <w:szCs w:val="28"/>
        </w:rPr>
        <w:t>为保障学位论文的质量，在研究生培养过程中，首先通过学习学科基础课程和专题课程，掌握基础和前沿的统计学研究方法。然后，学生与导师共同决定选题内容。确定论文研究内容之后，便是开题答辩。通过开题答辩，专家讨论学生所要研究的内容可行性、创新性以及研究价值，这保证了学生的研究的可完成性。开题之后，学生进入论文研究写作阶段，导师会对学生进行针对性的指导，使学位论文的写作能够顺利进行。最后，在论文写作的最后阶段，本学位点组织预答辩，通过预答辩，发现学生论文写作过程中可能存在的不足，便于学生及时调整。预答辩后是外审，通过外审，进一步找出论文中存在的问题，同时对论文质量给出评估。最后，邀请学科领域中的专家学者进行学位论文答辩，检验学位论文是否能够反映学科思想，学生是否掌握必要的学科知识，是否紧跟学科研究的发展前沿，学位论文是否达到要求等。</w:t>
      </w:r>
    </w:p>
    <w:p>
      <w:pPr>
        <w:snapToGrid w:val="0"/>
        <w:spacing w:line="360" w:lineRule="auto"/>
        <w:ind w:firstLine="602" w:firstLineChars="215"/>
        <w:rPr>
          <w:bCs/>
          <w:color w:val="000000"/>
          <w:sz w:val="28"/>
          <w:szCs w:val="28"/>
        </w:rPr>
      </w:pPr>
      <w:r>
        <w:rPr>
          <w:rFonts w:hint="eastAsia"/>
          <w:bCs/>
          <w:color w:val="000000"/>
          <w:sz w:val="28"/>
          <w:szCs w:val="28"/>
        </w:rPr>
        <w:t>为保障研究生培养质量，各级主管部门都加强了对学位论文质量的监督和抽检工作，</w:t>
      </w:r>
      <w:r>
        <w:rPr>
          <w:bCs/>
          <w:color w:val="000000"/>
          <w:sz w:val="28"/>
          <w:szCs w:val="28"/>
        </w:rPr>
        <w:t>对于研究生学位论文学术不端行为检测重合率不超过</w:t>
      </w:r>
      <w:r>
        <w:rPr>
          <w:rFonts w:hint="eastAsia"/>
          <w:bCs/>
          <w:color w:val="000000"/>
          <w:sz w:val="28"/>
          <w:szCs w:val="28"/>
        </w:rPr>
        <w:t>1</w:t>
      </w:r>
      <w:r>
        <w:rPr>
          <w:bCs/>
          <w:color w:val="000000"/>
          <w:sz w:val="28"/>
          <w:szCs w:val="28"/>
        </w:rPr>
        <w:t>5%的学位论文，进行正常的送审及答辩工作。</w:t>
      </w:r>
      <w:r>
        <w:rPr>
          <w:rFonts w:hint="eastAsia"/>
          <w:bCs/>
          <w:color w:val="000000"/>
          <w:sz w:val="28"/>
          <w:szCs w:val="28"/>
        </w:rPr>
        <w:t>同时，对</w:t>
      </w:r>
      <w:r>
        <w:rPr>
          <w:bCs/>
          <w:color w:val="000000"/>
          <w:sz w:val="28"/>
          <w:szCs w:val="28"/>
        </w:rPr>
        <w:t>博士学位论文评阅结果为 2D 以上</w:t>
      </w:r>
      <w:r>
        <w:rPr>
          <w:rFonts w:hint="eastAsia"/>
          <w:bCs/>
          <w:color w:val="000000"/>
          <w:sz w:val="28"/>
          <w:szCs w:val="28"/>
        </w:rPr>
        <w:t>，</w:t>
      </w:r>
      <w:r>
        <w:rPr>
          <w:bCs/>
          <w:color w:val="000000"/>
          <w:sz w:val="28"/>
          <w:szCs w:val="28"/>
        </w:rPr>
        <w:t>硕士学位论文评阅为 2D 者</w:t>
      </w:r>
      <w:r>
        <w:rPr>
          <w:rFonts w:hint="eastAsia"/>
          <w:bCs/>
          <w:color w:val="000000"/>
          <w:sz w:val="28"/>
          <w:szCs w:val="28"/>
        </w:rPr>
        <w:t>；</w:t>
      </w:r>
      <w:r>
        <w:rPr>
          <w:bCs/>
          <w:color w:val="000000"/>
          <w:sz w:val="28"/>
          <w:szCs w:val="28"/>
        </w:rPr>
        <w:t>论文答辩委员会或学位评定分委员会做出明确决定需要推迟半年申请学位者</w:t>
      </w:r>
      <w:r>
        <w:rPr>
          <w:rFonts w:hint="eastAsia"/>
          <w:bCs/>
          <w:color w:val="000000"/>
          <w:sz w:val="28"/>
          <w:szCs w:val="28"/>
        </w:rPr>
        <w:t>；以及</w:t>
      </w:r>
      <w:r>
        <w:rPr>
          <w:bCs/>
          <w:color w:val="000000"/>
          <w:sz w:val="28"/>
          <w:szCs w:val="28"/>
        </w:rPr>
        <w:t>应重新开题撰写论文者</w:t>
      </w:r>
      <w:r>
        <w:rPr>
          <w:rFonts w:hint="eastAsia"/>
          <w:bCs/>
          <w:color w:val="000000"/>
          <w:sz w:val="28"/>
          <w:szCs w:val="28"/>
        </w:rPr>
        <w:t>，不得申请答辩</w:t>
      </w:r>
      <w:r>
        <w:rPr>
          <w:bCs/>
          <w:color w:val="000000"/>
          <w:sz w:val="28"/>
          <w:szCs w:val="28"/>
        </w:rPr>
        <w:t>。</w:t>
      </w:r>
      <w:r>
        <w:rPr>
          <w:rFonts w:hint="eastAsia"/>
          <w:bCs/>
          <w:color w:val="000000"/>
          <w:sz w:val="28"/>
          <w:szCs w:val="28"/>
        </w:rPr>
        <w:t>我校尽可能地减少不合格的学位论文，切实推动我校研究生培养质量稳步提升，取得了令人满意的效果。</w:t>
      </w:r>
    </w:p>
    <w:p>
      <w:pPr>
        <w:spacing w:after="156" w:afterLines="50" w:line="360" w:lineRule="auto"/>
        <w:rPr>
          <w:rFonts w:eastAsia="黑体"/>
          <w:sz w:val="28"/>
          <w:szCs w:val="28"/>
        </w:rPr>
      </w:pPr>
      <w:r>
        <w:rPr>
          <w:rFonts w:eastAsia="黑体"/>
          <w:sz w:val="28"/>
          <w:szCs w:val="28"/>
        </w:rPr>
        <w:t>8</w:t>
      </w:r>
      <w:r>
        <w:rPr>
          <w:rFonts w:hint="eastAsia" w:eastAsia="黑体"/>
          <w:sz w:val="28"/>
          <w:szCs w:val="28"/>
        </w:rPr>
        <w:t>、</w:t>
      </w:r>
      <w:r>
        <w:rPr>
          <w:rFonts w:eastAsia="黑体"/>
          <w:sz w:val="28"/>
          <w:szCs w:val="28"/>
        </w:rPr>
        <w:t>学位授予及就业情况</w:t>
      </w:r>
    </w:p>
    <w:p>
      <w:pPr>
        <w:snapToGrid w:val="0"/>
        <w:spacing w:line="360" w:lineRule="auto"/>
        <w:ind w:firstLine="602" w:firstLineChars="215"/>
        <w:rPr>
          <w:bCs/>
          <w:sz w:val="28"/>
          <w:szCs w:val="28"/>
        </w:rPr>
      </w:pPr>
      <w:r>
        <w:rPr>
          <w:bCs/>
          <w:sz w:val="28"/>
          <w:szCs w:val="28"/>
        </w:rPr>
        <w:t>2021年度，</w:t>
      </w:r>
      <w:r>
        <w:rPr>
          <w:rFonts w:hint="eastAsia"/>
          <w:sz w:val="28"/>
          <w:szCs w:val="28"/>
        </w:rPr>
        <w:t>本</w:t>
      </w:r>
      <w:r>
        <w:rPr>
          <w:bCs/>
          <w:sz w:val="28"/>
          <w:szCs w:val="28"/>
        </w:rPr>
        <w:t>学位点共毕业 名硕士生， 名博士生，就业率百分之百，受到了用人单位的肯定。具体就业信息见下表。</w:t>
      </w:r>
    </w:p>
    <w:tbl>
      <w:tblPr>
        <w:tblStyle w:val="7"/>
        <w:tblW w:w="8711" w:type="dxa"/>
        <w:jc w:val="center"/>
        <w:tblLayout w:type="fixed"/>
        <w:tblCellMar>
          <w:top w:w="0" w:type="dxa"/>
          <w:left w:w="108" w:type="dxa"/>
          <w:bottom w:w="0" w:type="dxa"/>
          <w:right w:w="108" w:type="dxa"/>
        </w:tblCellMar>
      </w:tblPr>
      <w:tblGrid>
        <w:gridCol w:w="840"/>
        <w:gridCol w:w="735"/>
        <w:gridCol w:w="688"/>
        <w:gridCol w:w="993"/>
        <w:gridCol w:w="4015"/>
        <w:gridCol w:w="1440"/>
      </w:tblGrid>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姓名</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性别</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学位</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专业</w:t>
            </w:r>
          </w:p>
        </w:tc>
        <w:tc>
          <w:tcPr>
            <w:tcW w:w="4015"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就业单位</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联系电话</w:t>
            </w:r>
          </w:p>
        </w:tc>
      </w:tr>
      <w:tr>
        <w:tblPrEx>
          <w:tblCellMar>
            <w:top w:w="0" w:type="dxa"/>
            <w:left w:w="108" w:type="dxa"/>
            <w:bottom w:w="0" w:type="dxa"/>
            <w:right w:w="108" w:type="dxa"/>
          </w:tblCellMar>
        </w:tblPrEx>
        <w:trPr>
          <w:trHeight w:val="27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曾姣艳</w:t>
            </w:r>
          </w:p>
        </w:tc>
        <w:tc>
          <w:tcPr>
            <w:tcW w:w="73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博士</w:t>
            </w:r>
          </w:p>
        </w:tc>
        <w:tc>
          <w:tcPr>
            <w:tcW w:w="993"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湖南师范大学</w:t>
            </w:r>
          </w:p>
        </w:tc>
        <w:tc>
          <w:tcPr>
            <w:tcW w:w="1440"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0731-82238949</w:t>
            </w:r>
          </w:p>
        </w:tc>
      </w:tr>
      <w:tr>
        <w:tblPrEx>
          <w:tblCellMar>
            <w:top w:w="0" w:type="dxa"/>
            <w:left w:w="108" w:type="dxa"/>
            <w:bottom w:w="0" w:type="dxa"/>
            <w:right w:w="108" w:type="dxa"/>
          </w:tblCellMar>
        </w:tblPrEx>
        <w:trPr>
          <w:trHeight w:val="27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易思维</w:t>
            </w:r>
          </w:p>
        </w:tc>
        <w:tc>
          <w:tcPr>
            <w:tcW w:w="73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男</w:t>
            </w:r>
          </w:p>
        </w:tc>
        <w:tc>
          <w:tcPr>
            <w:tcW w:w="688"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博士</w:t>
            </w:r>
          </w:p>
        </w:tc>
        <w:tc>
          <w:tcPr>
            <w:tcW w:w="993"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湖南财政经济学院</w:t>
            </w:r>
          </w:p>
        </w:tc>
        <w:tc>
          <w:tcPr>
            <w:tcW w:w="1440"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18074597123</w:t>
            </w:r>
          </w:p>
        </w:tc>
      </w:tr>
      <w:tr>
        <w:tblPrEx>
          <w:tblCellMar>
            <w:top w:w="0" w:type="dxa"/>
            <w:left w:w="108" w:type="dxa"/>
            <w:bottom w:w="0" w:type="dxa"/>
            <w:right w:w="108" w:type="dxa"/>
          </w:tblCellMar>
        </w:tblPrEx>
        <w:trPr>
          <w:trHeight w:val="27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盛小芳</w:t>
            </w:r>
          </w:p>
        </w:tc>
        <w:tc>
          <w:tcPr>
            <w:tcW w:w="73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博士</w:t>
            </w:r>
          </w:p>
        </w:tc>
        <w:tc>
          <w:tcPr>
            <w:tcW w:w="993"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湖南工商大学</w:t>
            </w:r>
          </w:p>
        </w:tc>
        <w:tc>
          <w:tcPr>
            <w:tcW w:w="1440"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13755068893</w:t>
            </w:r>
          </w:p>
        </w:tc>
      </w:tr>
      <w:tr>
        <w:tblPrEx>
          <w:tblCellMar>
            <w:top w:w="0" w:type="dxa"/>
            <w:left w:w="108" w:type="dxa"/>
            <w:bottom w:w="0" w:type="dxa"/>
            <w:right w:w="108" w:type="dxa"/>
          </w:tblCellMar>
        </w:tblPrEx>
        <w:trPr>
          <w:trHeight w:val="27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刘娟</w:t>
            </w:r>
          </w:p>
        </w:tc>
        <w:tc>
          <w:tcPr>
            <w:tcW w:w="73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博士</w:t>
            </w:r>
          </w:p>
        </w:tc>
        <w:tc>
          <w:tcPr>
            <w:tcW w:w="993"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湖南工商大学</w:t>
            </w:r>
          </w:p>
        </w:tc>
        <w:tc>
          <w:tcPr>
            <w:tcW w:w="1440"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18874744953</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查文婷</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博士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湖南师范大学</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13574103095</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孙军</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男</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博士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安徽财经大学</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15574838976</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何宁宁</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博士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周口师范学院</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15111360812</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杜彦斌</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男</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博士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河南科技大学</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18300862189</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朱伟章</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男</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硕士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兰溪市诸葛镇人民政府</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13687383716</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hint="eastAsia" w:ascii="宋体" w:hAnsi="宋体" w:cs="宋体"/>
                <w:kern w:val="0"/>
                <w:sz w:val="18"/>
                <w:szCs w:val="18"/>
              </w:rPr>
              <w:t>王琪政</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男</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硕士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广东省韶关市曲江区统计局</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18370038170</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hint="eastAsia" w:ascii="宋体" w:hAnsi="宋体" w:cs="宋体"/>
                <w:kern w:val="0"/>
                <w:sz w:val="18"/>
                <w:szCs w:val="18"/>
              </w:rPr>
              <w:t>盛旦</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男</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硕士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东莞市第十高级中学</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13397320802</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阳洁静</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硕士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长沙银行股份有限公司</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13974343463</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罗晶</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硕士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娄底市住房保障服务中心</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18207330078</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ascii="宋体" w:hAnsi="宋体" w:cs="宋体"/>
                <w:kern w:val="0"/>
                <w:sz w:val="18"/>
                <w:szCs w:val="18"/>
              </w:rPr>
              <w:t>李婷睿</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硕士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湖南民族职业学院</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15700755756</w:t>
            </w:r>
          </w:p>
        </w:tc>
      </w:tr>
      <w:tr>
        <w:tblPrEx>
          <w:tblCellMar>
            <w:top w:w="0" w:type="dxa"/>
            <w:left w:w="108" w:type="dxa"/>
            <w:bottom w:w="0" w:type="dxa"/>
            <w:right w:w="108" w:type="dxa"/>
          </w:tblCellMar>
        </w:tblPrEx>
        <w:trPr>
          <w:trHeight w:val="277"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kern w:val="0"/>
                <w:sz w:val="18"/>
                <w:szCs w:val="18"/>
              </w:rPr>
            </w:pPr>
            <w:r>
              <w:rPr>
                <w:rFonts w:hint="eastAsia" w:ascii="宋体" w:hAnsi="宋体" w:cs="宋体"/>
                <w:kern w:val="0"/>
                <w:sz w:val="18"/>
                <w:szCs w:val="18"/>
              </w:rPr>
              <w:t>钟诗臻</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女</w:t>
            </w:r>
          </w:p>
        </w:tc>
        <w:tc>
          <w:tcPr>
            <w:tcW w:w="688"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cs="宋体"/>
                <w:kern w:val="0"/>
                <w:sz w:val="18"/>
                <w:szCs w:val="18"/>
              </w:rPr>
            </w:pPr>
            <w:r>
              <w:rPr>
                <w:rFonts w:ascii="Arial" w:hAnsi="Arial" w:cs="Arial"/>
                <w:color w:val="000000"/>
                <w:kern w:val="0"/>
                <w:sz w:val="20"/>
                <w:szCs w:val="20"/>
                <w:lang w:bidi="ar"/>
              </w:rPr>
              <w:t>硕士</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统计学</w:t>
            </w:r>
          </w:p>
        </w:tc>
        <w:tc>
          <w:tcPr>
            <w:tcW w:w="401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kern w:val="0"/>
                <w:sz w:val="18"/>
                <w:szCs w:val="18"/>
              </w:rPr>
            </w:pPr>
            <w:r>
              <w:rPr>
                <w:rFonts w:hint="eastAsia" w:ascii="宋体" w:hAnsi="宋体" w:cs="宋体"/>
                <w:kern w:val="0"/>
                <w:sz w:val="18"/>
                <w:szCs w:val="18"/>
              </w:rPr>
              <w:t>湖南石油化工职业学院</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cs="宋体"/>
                <w:kern w:val="0"/>
                <w:sz w:val="18"/>
                <w:szCs w:val="18"/>
              </w:rPr>
            </w:pPr>
            <w:r>
              <w:rPr>
                <w:rFonts w:ascii="宋体" w:hAnsi="宋体" w:cs="宋体"/>
                <w:kern w:val="0"/>
                <w:sz w:val="18"/>
                <w:szCs w:val="18"/>
              </w:rPr>
              <w:t>15674491970</w:t>
            </w:r>
          </w:p>
        </w:tc>
      </w:tr>
    </w:tbl>
    <w:p>
      <w:pPr>
        <w:rPr>
          <w:rFonts w:ascii="楷体_GB2312" w:eastAsia="楷体_GB2312"/>
          <w:sz w:val="32"/>
          <w:szCs w:val="32"/>
        </w:rPr>
      </w:pPr>
      <w:r>
        <w:rPr>
          <w:rFonts w:ascii="黑体" w:hAnsi="黑体" w:eastAsia="黑体"/>
          <w:sz w:val="32"/>
          <w:szCs w:val="32"/>
        </w:rPr>
        <w:t>四</w:t>
      </w:r>
      <w:r>
        <w:rPr>
          <w:rFonts w:hint="eastAsia" w:ascii="黑体" w:hAnsi="黑体" w:eastAsia="黑体"/>
          <w:sz w:val="32"/>
          <w:szCs w:val="32"/>
        </w:rPr>
        <w:t>、</w:t>
      </w:r>
      <w:r>
        <w:rPr>
          <w:rFonts w:ascii="黑体" w:hAnsi="黑体" w:eastAsia="黑体"/>
          <w:sz w:val="32"/>
          <w:szCs w:val="32"/>
        </w:rPr>
        <w:t>学位授权点社会服务情况</w:t>
      </w:r>
    </w:p>
    <w:p>
      <w:pPr>
        <w:snapToGrid w:val="0"/>
        <w:spacing w:line="360" w:lineRule="auto"/>
        <w:ind w:firstLine="602" w:firstLineChars="215"/>
        <w:jc w:val="both"/>
        <w:rPr>
          <w:bCs/>
          <w:sz w:val="28"/>
          <w:szCs w:val="28"/>
        </w:rPr>
      </w:pPr>
      <w:r>
        <w:rPr>
          <w:rFonts w:hint="eastAsia"/>
          <w:bCs/>
          <w:sz w:val="28"/>
          <w:szCs w:val="28"/>
        </w:rPr>
        <w:t>2</w:t>
      </w:r>
      <w:r>
        <w:rPr>
          <w:bCs/>
          <w:sz w:val="28"/>
          <w:szCs w:val="28"/>
        </w:rPr>
        <w:t>021年度本学位点开展的社会服务优秀案例如下：</w:t>
      </w:r>
      <w:r>
        <w:rPr>
          <w:bCs/>
          <w:sz w:val="28"/>
          <w:szCs w:val="28"/>
        </w:rPr>
        <w:br w:type="textWrapping"/>
      </w:r>
      <w:r>
        <w:rPr>
          <w:bCs/>
          <w:sz w:val="28"/>
          <w:szCs w:val="28"/>
        </w:rPr>
        <w:t xml:space="preserve">   </w:t>
      </w:r>
      <w:bookmarkStart w:id="0" w:name="_Hlk95491198"/>
      <w:r>
        <w:rPr>
          <w:bCs/>
          <w:sz w:val="28"/>
          <w:szCs w:val="28"/>
        </w:rPr>
        <w:t xml:space="preserve"> 将统计专业知识服务于地区经济，如</w:t>
      </w:r>
      <w:bookmarkEnd w:id="0"/>
      <w:r>
        <w:rPr>
          <w:rFonts w:hint="eastAsia"/>
          <w:bCs/>
          <w:sz w:val="28"/>
          <w:szCs w:val="28"/>
        </w:rPr>
        <w:t>李科教授团队与湖南联创低碳经济发展中心合作，参与研究《坚持生态优先绿色发展，积极应对气候变化》的专题研究，其成果受到湖南省人民政府副秘书长黎咸兴先生的高度认可；受湖南省水泥协会委托，共同完成《湖南省水泥行业二氧化碳排放达峰行动方案》的编制；双方在省市二氧化碳排放达峰行动、应对气候变化专项规划、重点领域节能减煤降碳行动、企业碳核查、亚太绿色低碳发展高峰论坛等领域紧密合作，共同为省发改委、省生态环境厅、常德、邵阳、岳阳、张家界等众多“双碳”领域的决策分析提供智力支持，取得了良好成效。</w:t>
      </w:r>
    </w:p>
    <w:p>
      <w:pPr>
        <w:spacing w:line="360" w:lineRule="auto"/>
        <w:rPr>
          <w:rFonts w:eastAsia="楷体_GB2312"/>
          <w:sz w:val="32"/>
          <w:szCs w:val="32"/>
        </w:rPr>
      </w:pPr>
      <w:r>
        <w:rPr>
          <w:rFonts w:eastAsia="黑体"/>
          <w:sz w:val="32"/>
          <w:szCs w:val="32"/>
        </w:rPr>
        <w:t>五、存在的问题与改进措施</w:t>
      </w:r>
    </w:p>
    <w:p>
      <w:pPr>
        <w:spacing w:after="156" w:afterLines="50" w:line="360" w:lineRule="auto"/>
        <w:rPr>
          <w:rFonts w:eastAsia="黑体"/>
          <w:sz w:val="28"/>
          <w:szCs w:val="28"/>
        </w:rPr>
      </w:pPr>
      <w:r>
        <w:rPr>
          <w:rFonts w:hint="eastAsia" w:eastAsia="黑体"/>
          <w:sz w:val="28"/>
          <w:szCs w:val="28"/>
        </w:rPr>
        <w:t>1、存在的问题</w:t>
      </w:r>
    </w:p>
    <w:p>
      <w:pPr>
        <w:snapToGrid w:val="0"/>
        <w:spacing w:line="360" w:lineRule="auto"/>
        <w:ind w:firstLine="602" w:firstLineChars="215"/>
        <w:rPr>
          <w:bCs/>
          <w:color w:val="000000"/>
          <w:sz w:val="28"/>
          <w:szCs w:val="28"/>
        </w:rPr>
      </w:pPr>
      <w:r>
        <w:rPr>
          <w:bCs/>
          <w:color w:val="000000"/>
          <w:sz w:val="28"/>
          <w:szCs w:val="28"/>
        </w:rPr>
        <w:t>在生源质量保障方面，目前本学位点推免生源</w:t>
      </w:r>
      <w:r>
        <w:rPr>
          <w:rFonts w:hint="eastAsia"/>
          <w:bCs/>
          <w:color w:val="000000"/>
          <w:sz w:val="28"/>
          <w:szCs w:val="28"/>
        </w:rPr>
        <w:t>并不多，应进一步加大宣传力度。</w:t>
      </w:r>
    </w:p>
    <w:p>
      <w:pPr>
        <w:snapToGrid w:val="0"/>
        <w:spacing w:line="360" w:lineRule="auto"/>
        <w:ind w:firstLine="560" w:firstLineChars="200"/>
        <w:rPr>
          <w:bCs/>
          <w:color w:val="000000"/>
          <w:sz w:val="28"/>
          <w:szCs w:val="28"/>
        </w:rPr>
      </w:pPr>
      <w:r>
        <w:rPr>
          <w:bCs/>
          <w:color w:val="000000"/>
          <w:sz w:val="28"/>
          <w:szCs w:val="28"/>
        </w:rPr>
        <w:t>在师资队伍资源建设方面，目前本学位点</w:t>
      </w:r>
      <w:r>
        <w:rPr>
          <w:rFonts w:hint="eastAsia"/>
          <w:bCs/>
          <w:color w:val="000000"/>
          <w:sz w:val="28"/>
          <w:szCs w:val="28"/>
        </w:rPr>
        <w:t>师资力量</w:t>
      </w:r>
      <w:r>
        <w:rPr>
          <w:rFonts w:ascii="宋体" w:hAnsi="宋体"/>
          <w:color w:val="242021"/>
          <w:sz w:val="28"/>
          <w:szCs w:val="28"/>
        </w:rPr>
        <w:t>亟</w:t>
      </w:r>
      <w:r>
        <w:rPr>
          <w:rFonts w:hint="eastAsia" w:ascii="宋体" w:hAnsi="宋体"/>
          <w:sz w:val="28"/>
          <w:szCs w:val="28"/>
        </w:rPr>
        <w:t>待</w:t>
      </w:r>
      <w:r>
        <w:rPr>
          <w:rFonts w:hint="eastAsia"/>
          <w:bCs/>
          <w:color w:val="000000"/>
          <w:sz w:val="28"/>
          <w:szCs w:val="28"/>
        </w:rPr>
        <w:t>加强，缺乏高水平领军人才</w:t>
      </w:r>
      <w:r>
        <w:rPr>
          <w:bCs/>
          <w:color w:val="000000"/>
          <w:sz w:val="28"/>
          <w:szCs w:val="28"/>
        </w:rPr>
        <w:t>。</w:t>
      </w:r>
    </w:p>
    <w:p>
      <w:pPr>
        <w:snapToGrid w:val="0"/>
        <w:spacing w:line="360" w:lineRule="auto"/>
        <w:ind w:firstLine="560" w:firstLineChars="200"/>
        <w:rPr>
          <w:bCs/>
          <w:color w:val="000000"/>
          <w:sz w:val="28"/>
          <w:szCs w:val="28"/>
        </w:rPr>
      </w:pPr>
      <w:r>
        <w:rPr>
          <w:rFonts w:hint="eastAsia"/>
          <w:bCs/>
          <w:color w:val="000000"/>
          <w:sz w:val="28"/>
          <w:szCs w:val="28"/>
        </w:rPr>
        <w:t>在科学研究方面，高水平科研项目的等级和数量有待加强、高级别科研奖项的申报需要提前规划</w:t>
      </w:r>
      <w:r>
        <w:rPr>
          <w:bCs/>
          <w:color w:val="000000"/>
          <w:sz w:val="28"/>
          <w:szCs w:val="28"/>
        </w:rPr>
        <w:t>，</w:t>
      </w:r>
      <w:r>
        <w:rPr>
          <w:rFonts w:hint="eastAsia"/>
          <w:bCs/>
          <w:color w:val="000000"/>
          <w:sz w:val="28"/>
          <w:szCs w:val="28"/>
        </w:rPr>
        <w:t>现有青年人才的培养有待加强。</w:t>
      </w:r>
    </w:p>
    <w:p>
      <w:pPr>
        <w:snapToGrid w:val="0"/>
        <w:spacing w:line="360" w:lineRule="auto"/>
        <w:ind w:firstLine="602" w:firstLineChars="215"/>
        <w:rPr>
          <w:bCs/>
          <w:color w:val="000000"/>
          <w:sz w:val="28"/>
          <w:szCs w:val="28"/>
        </w:rPr>
      </w:pPr>
      <w:r>
        <w:rPr>
          <w:bCs/>
          <w:color w:val="000000"/>
          <w:sz w:val="28"/>
          <w:szCs w:val="28"/>
        </w:rPr>
        <w:t>在人才培养质量方面，目前本学位点的研究生在参加国外会议的情况上有欠缺，参加的国内外学科竞赛不足。</w:t>
      </w:r>
    </w:p>
    <w:p>
      <w:pPr>
        <w:snapToGrid w:val="0"/>
        <w:spacing w:line="360" w:lineRule="auto"/>
        <w:ind w:firstLine="602" w:firstLineChars="215"/>
        <w:rPr>
          <w:bCs/>
          <w:color w:val="000000"/>
          <w:sz w:val="28"/>
          <w:szCs w:val="28"/>
        </w:rPr>
      </w:pPr>
      <w:r>
        <w:rPr>
          <w:bCs/>
          <w:color w:val="000000"/>
          <w:sz w:val="28"/>
          <w:szCs w:val="28"/>
        </w:rPr>
        <w:t>在学位论文质量建设方面，目前本学位点的学位论文在国家抽查环节</w:t>
      </w:r>
      <w:r>
        <w:rPr>
          <w:rFonts w:hint="eastAsia"/>
          <w:bCs/>
          <w:color w:val="000000"/>
          <w:sz w:val="28"/>
          <w:szCs w:val="28"/>
        </w:rPr>
        <w:t>未</w:t>
      </w:r>
      <w:r>
        <w:rPr>
          <w:bCs/>
          <w:color w:val="000000"/>
          <w:sz w:val="28"/>
          <w:szCs w:val="28"/>
        </w:rPr>
        <w:t>被评为优秀论文。</w:t>
      </w:r>
    </w:p>
    <w:p>
      <w:pPr>
        <w:snapToGrid w:val="0"/>
        <w:spacing w:line="360" w:lineRule="auto"/>
        <w:ind w:firstLine="602" w:firstLineChars="215"/>
        <w:rPr>
          <w:bCs/>
          <w:color w:val="000000"/>
          <w:sz w:val="28"/>
          <w:szCs w:val="28"/>
        </w:rPr>
      </w:pPr>
      <w:r>
        <w:rPr>
          <w:rFonts w:hint="eastAsia"/>
          <w:bCs/>
          <w:color w:val="000000"/>
          <w:sz w:val="28"/>
          <w:szCs w:val="28"/>
        </w:rPr>
        <w:t>在学科</w:t>
      </w:r>
      <w:r>
        <w:rPr>
          <w:bCs/>
          <w:color w:val="000000"/>
          <w:sz w:val="28"/>
          <w:szCs w:val="28"/>
        </w:rPr>
        <w:t>相关机制方面</w:t>
      </w:r>
      <w:r>
        <w:rPr>
          <w:rFonts w:hint="eastAsia"/>
          <w:bCs/>
          <w:color w:val="000000"/>
          <w:sz w:val="28"/>
          <w:szCs w:val="28"/>
        </w:rPr>
        <w:t>，学科人员牵涉几个学院，组织协调机制尚不够完善。日常</w:t>
      </w:r>
      <w:r>
        <w:rPr>
          <w:bCs/>
          <w:color w:val="000000"/>
          <w:sz w:val="28"/>
          <w:szCs w:val="28"/>
        </w:rPr>
        <w:t>管理</w:t>
      </w:r>
      <w:r>
        <w:rPr>
          <w:rFonts w:hint="eastAsia"/>
          <w:bCs/>
          <w:color w:val="000000"/>
          <w:sz w:val="28"/>
          <w:szCs w:val="28"/>
        </w:rPr>
        <w:t>、经费使用</w:t>
      </w:r>
      <w:r>
        <w:rPr>
          <w:bCs/>
          <w:color w:val="000000"/>
          <w:sz w:val="28"/>
          <w:szCs w:val="28"/>
        </w:rPr>
        <w:t>等相关管理制度有待进一步完善，以</w:t>
      </w:r>
      <w:r>
        <w:rPr>
          <w:rFonts w:hint="eastAsia"/>
          <w:bCs/>
          <w:color w:val="000000"/>
          <w:sz w:val="28"/>
          <w:szCs w:val="28"/>
        </w:rPr>
        <w:t>充分调动学科全体成员的积极性，为学科建设提供强</w:t>
      </w:r>
      <w:r>
        <w:rPr>
          <w:bCs/>
          <w:color w:val="000000"/>
          <w:sz w:val="28"/>
          <w:szCs w:val="28"/>
        </w:rPr>
        <w:t>有力保障</w:t>
      </w:r>
      <w:r>
        <w:rPr>
          <w:rFonts w:hint="eastAsia"/>
          <w:bCs/>
          <w:color w:val="000000"/>
          <w:sz w:val="28"/>
          <w:szCs w:val="28"/>
        </w:rPr>
        <w:t>。</w:t>
      </w:r>
    </w:p>
    <w:p>
      <w:pPr>
        <w:spacing w:after="156" w:afterLines="50" w:line="360" w:lineRule="auto"/>
        <w:rPr>
          <w:rFonts w:eastAsia="黑体"/>
          <w:sz w:val="28"/>
          <w:szCs w:val="28"/>
        </w:rPr>
      </w:pPr>
      <w:r>
        <w:rPr>
          <w:rFonts w:eastAsia="黑体"/>
          <w:sz w:val="28"/>
          <w:szCs w:val="28"/>
        </w:rPr>
        <w:t>2</w:t>
      </w:r>
      <w:r>
        <w:rPr>
          <w:rFonts w:hint="eastAsia" w:eastAsia="黑体"/>
          <w:sz w:val="28"/>
          <w:szCs w:val="28"/>
        </w:rPr>
        <w:t>、改进措施</w:t>
      </w:r>
    </w:p>
    <w:p>
      <w:pPr>
        <w:snapToGrid w:val="0"/>
        <w:spacing w:line="360" w:lineRule="auto"/>
        <w:ind w:firstLine="602" w:firstLineChars="215"/>
        <w:rPr>
          <w:bCs/>
          <w:color w:val="000000"/>
          <w:sz w:val="28"/>
          <w:szCs w:val="28"/>
        </w:rPr>
      </w:pPr>
      <w:r>
        <w:rPr>
          <w:bCs/>
          <w:color w:val="000000"/>
          <w:sz w:val="28"/>
          <w:szCs w:val="28"/>
        </w:rPr>
        <w:t>通过体制机制改革，力争建立富有活力的新体制研究机构——统计与大数据研究所，以集聚资源，汇聚人才。大力加强教学、科研团队建设，加强高端人才、学科带头人、优秀青年博士的引进与培养。倡导高水平的科学研究，建立一支结构合理、凝聚力强、富有创新精神的师资队伍；保持现有特点与优势，突出优势学科。不断深化教育教学改革，坚持弘扬教师教育特色，努力提高学科影响力与办学质量。</w:t>
      </w:r>
      <w:r>
        <w:rPr>
          <w:rFonts w:hint="eastAsia"/>
          <w:bCs/>
          <w:color w:val="000000"/>
          <w:sz w:val="28"/>
          <w:szCs w:val="28"/>
        </w:rPr>
        <w:t xml:space="preserve"> </w:t>
      </w:r>
      <w:r>
        <w:rPr>
          <w:bCs/>
          <w:color w:val="000000"/>
          <w:sz w:val="28"/>
          <w:szCs w:val="28"/>
        </w:rPr>
        <w:t xml:space="preserve">        </w:t>
      </w:r>
    </w:p>
    <w:p>
      <w:pPr>
        <w:snapToGrid w:val="0"/>
        <w:spacing w:line="360" w:lineRule="auto"/>
        <w:ind w:firstLine="602" w:firstLineChars="215"/>
      </w:pPr>
      <w:r>
        <w:rPr>
          <w:rFonts w:hint="eastAsia"/>
          <w:bCs/>
          <w:color w:val="000000"/>
          <w:sz w:val="28"/>
          <w:szCs w:val="28"/>
        </w:rPr>
        <w:t>接下来一年</w:t>
      </w:r>
      <w:r>
        <w:rPr>
          <w:bCs/>
          <w:color w:val="000000"/>
          <w:sz w:val="28"/>
          <w:szCs w:val="28"/>
        </w:rPr>
        <w:t>继续强化研究生培养过程管理、提升人才培养质量，具体如下：（1）继续扩大招生宣传，通过免试推荐、考试、审核选拔等方式选拔优秀生涯，进一步优化生涯结构；（2）</w:t>
      </w:r>
      <w:r>
        <w:rPr>
          <w:rFonts w:hint="eastAsia"/>
          <w:bCs/>
          <w:color w:val="000000"/>
          <w:sz w:val="28"/>
          <w:szCs w:val="28"/>
        </w:rPr>
        <w:t>通过着力扩大师资规模、努力培养卓越教师和学科带头人、大力引进和造就领军人才、全力建设学科团队，</w:t>
      </w:r>
      <w:r>
        <w:rPr>
          <w:bCs/>
          <w:color w:val="000000"/>
          <w:sz w:val="28"/>
          <w:szCs w:val="28"/>
        </w:rPr>
        <w:t>进一步优化学术队伍结构，突出研究特色，并为青年教师创造有利的研究环境</w:t>
      </w:r>
      <w:r>
        <w:rPr>
          <w:rFonts w:hint="eastAsia"/>
          <w:bCs/>
          <w:color w:val="000000"/>
          <w:sz w:val="28"/>
          <w:szCs w:val="28"/>
        </w:rPr>
        <w:t>；（3）</w:t>
      </w:r>
      <w:r>
        <w:rPr>
          <w:bCs/>
          <w:color w:val="000000"/>
          <w:sz w:val="28"/>
          <w:szCs w:val="28"/>
        </w:rPr>
        <w:t>鼓励研究生进行多种形式的学术训练与学术交流，鼓励研究生积极参加国内外学术交流，不断开拓视野，提升创新能力；（4）创新研究生奖学金机制，鼓励研究生发表高质量的学术论文；（5）进一步加强研究生学术道德和学术诚信教育，严把学位论文质量关</w:t>
      </w:r>
      <w:r>
        <w:rPr>
          <w:rFonts w:hint="eastAsia"/>
          <w:bCs/>
          <w:color w:val="000000"/>
          <w:sz w:val="28"/>
          <w:szCs w:val="28"/>
        </w:rPr>
        <w:t>；（6）进一步加强各级各类人才引进的力度，壮大师资队伍数量。希望学校考虑到统计学科的特点，在人才引进政策方面给够给予学科适当倾斜，加快人才引进的处理效率。进一步扩大学科的影响力，积极主动地主办和承办一些会议，多邀请国内外专家来校指导和交流。（7）明确学科领导小组的具体职责，建立</w:t>
      </w:r>
      <w:r>
        <w:rPr>
          <w:bCs/>
          <w:color w:val="000000"/>
          <w:sz w:val="28"/>
          <w:szCs w:val="28"/>
        </w:rPr>
        <w:t>和完善</w:t>
      </w:r>
      <w:r>
        <w:rPr>
          <w:rFonts w:hint="eastAsia"/>
          <w:bCs/>
          <w:color w:val="000000"/>
          <w:sz w:val="28"/>
          <w:szCs w:val="28"/>
        </w:rPr>
        <w:t>符合学科特点的学科经费使用制度和绩效激励政策，以及</w:t>
      </w:r>
      <w:r>
        <w:rPr>
          <w:bCs/>
          <w:color w:val="000000"/>
          <w:sz w:val="28"/>
          <w:szCs w:val="28"/>
        </w:rPr>
        <w:t>学科的管理制度，</w:t>
      </w:r>
      <w:r>
        <w:rPr>
          <w:rFonts w:hint="eastAsia"/>
          <w:bCs/>
          <w:color w:val="000000"/>
          <w:sz w:val="28"/>
          <w:szCs w:val="28"/>
        </w:rPr>
        <w:t>在学科领导小组内部定期公示学科经费的使用情况，充分调动全体人员的工作主动性。</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昆仑黑体">
    <w:altName w:val="黑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34364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4878EE"/>
    <w:multiLevelType w:val="multilevel"/>
    <w:tmpl w:val="4A4878EE"/>
    <w:lvl w:ilvl="0" w:tentative="0">
      <w:start w:val="1"/>
      <w:numFmt w:val="japaneseCounting"/>
      <w:lvlText w:val="%1、"/>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02F6"/>
    <w:rsid w:val="00021671"/>
    <w:rsid w:val="00096DC1"/>
    <w:rsid w:val="000A380C"/>
    <w:rsid w:val="000B0050"/>
    <w:rsid w:val="000B5531"/>
    <w:rsid w:val="000F4838"/>
    <w:rsid w:val="000F54EA"/>
    <w:rsid w:val="00153A12"/>
    <w:rsid w:val="00176626"/>
    <w:rsid w:val="001A0EF1"/>
    <w:rsid w:val="001A3056"/>
    <w:rsid w:val="001C669D"/>
    <w:rsid w:val="00203D18"/>
    <w:rsid w:val="00230D1B"/>
    <w:rsid w:val="00231481"/>
    <w:rsid w:val="00265690"/>
    <w:rsid w:val="002B1060"/>
    <w:rsid w:val="002B6A27"/>
    <w:rsid w:val="002F7801"/>
    <w:rsid w:val="00320E5A"/>
    <w:rsid w:val="003941CE"/>
    <w:rsid w:val="003A28E5"/>
    <w:rsid w:val="003B021B"/>
    <w:rsid w:val="003B2181"/>
    <w:rsid w:val="003D0D61"/>
    <w:rsid w:val="003E39FD"/>
    <w:rsid w:val="0043083E"/>
    <w:rsid w:val="0044332A"/>
    <w:rsid w:val="004662B6"/>
    <w:rsid w:val="004A522C"/>
    <w:rsid w:val="004C2737"/>
    <w:rsid w:val="00545920"/>
    <w:rsid w:val="00560AD4"/>
    <w:rsid w:val="00586745"/>
    <w:rsid w:val="00593FE6"/>
    <w:rsid w:val="005C22B7"/>
    <w:rsid w:val="006039F0"/>
    <w:rsid w:val="006059BF"/>
    <w:rsid w:val="006116C8"/>
    <w:rsid w:val="00611EEB"/>
    <w:rsid w:val="00661C57"/>
    <w:rsid w:val="00685002"/>
    <w:rsid w:val="006D3029"/>
    <w:rsid w:val="006E398E"/>
    <w:rsid w:val="00703A7F"/>
    <w:rsid w:val="00735DA4"/>
    <w:rsid w:val="007363D4"/>
    <w:rsid w:val="00743A46"/>
    <w:rsid w:val="0077545D"/>
    <w:rsid w:val="0077708B"/>
    <w:rsid w:val="007A79EE"/>
    <w:rsid w:val="00821F26"/>
    <w:rsid w:val="00873DF5"/>
    <w:rsid w:val="008D48EF"/>
    <w:rsid w:val="009D184C"/>
    <w:rsid w:val="009E4C68"/>
    <w:rsid w:val="00A37357"/>
    <w:rsid w:val="00A76030"/>
    <w:rsid w:val="00AB1FEF"/>
    <w:rsid w:val="00AF6B12"/>
    <w:rsid w:val="00B04B47"/>
    <w:rsid w:val="00B102F6"/>
    <w:rsid w:val="00B638B8"/>
    <w:rsid w:val="00B8122A"/>
    <w:rsid w:val="00B95C86"/>
    <w:rsid w:val="00BA3227"/>
    <w:rsid w:val="00BB3089"/>
    <w:rsid w:val="00BB45EF"/>
    <w:rsid w:val="00BB7AE9"/>
    <w:rsid w:val="00BD48B1"/>
    <w:rsid w:val="00BF37B6"/>
    <w:rsid w:val="00C013B1"/>
    <w:rsid w:val="00C11B16"/>
    <w:rsid w:val="00C24091"/>
    <w:rsid w:val="00C334B4"/>
    <w:rsid w:val="00C366B7"/>
    <w:rsid w:val="00C52981"/>
    <w:rsid w:val="00C90C90"/>
    <w:rsid w:val="00CA7400"/>
    <w:rsid w:val="00D41BCF"/>
    <w:rsid w:val="00D4451E"/>
    <w:rsid w:val="00D46819"/>
    <w:rsid w:val="00D54F96"/>
    <w:rsid w:val="00D72452"/>
    <w:rsid w:val="00D802E5"/>
    <w:rsid w:val="00DA0299"/>
    <w:rsid w:val="00DA72AA"/>
    <w:rsid w:val="00DF0C47"/>
    <w:rsid w:val="00E27B83"/>
    <w:rsid w:val="00E42042"/>
    <w:rsid w:val="00E924A7"/>
    <w:rsid w:val="00EA7C26"/>
    <w:rsid w:val="00EF5FC1"/>
    <w:rsid w:val="00F202C5"/>
    <w:rsid w:val="00F217AF"/>
    <w:rsid w:val="00F81655"/>
    <w:rsid w:val="00FA5072"/>
    <w:rsid w:val="00FB7800"/>
    <w:rsid w:val="00FC7041"/>
    <w:rsid w:val="00FD3960"/>
    <w:rsid w:val="080E48E0"/>
    <w:rsid w:val="195A1AC8"/>
    <w:rsid w:val="324B70C7"/>
    <w:rsid w:val="37AB41E8"/>
    <w:rsid w:val="7F9E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
    <w:pPr>
      <w:spacing w:before="100" w:beforeAutospacing="1" w:after="100" w:afterAutospacing="1"/>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uiPriority w:val="99"/>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7"/>
    <w:semiHidden/>
    <w:unhideWhenUsed/>
    <w:uiPriority w:val="99"/>
    <w:rPr>
      <w:b/>
      <w:bCs/>
    </w:rPr>
  </w:style>
  <w:style w:type="character" w:styleId="9">
    <w:name w:val="Hyperlink"/>
    <w:basedOn w:val="8"/>
    <w:semiHidden/>
    <w:unhideWhenUsed/>
    <w:uiPriority w:val="99"/>
    <w:rPr>
      <w:color w:val="0000FF"/>
      <w:u w:val="single"/>
    </w:rPr>
  </w:style>
  <w:style w:type="character" w:styleId="10">
    <w:name w:val="annotation reference"/>
    <w:basedOn w:val="8"/>
    <w:semiHidden/>
    <w:unhideWhenUsed/>
    <w:uiPriority w:val="99"/>
    <w:rPr>
      <w:sz w:val="21"/>
      <w:szCs w:val="21"/>
    </w:rPr>
  </w:style>
  <w:style w:type="character" w:customStyle="1" w:styleId="11">
    <w:name w:val="页眉 字符"/>
    <w:basedOn w:val="8"/>
    <w:link w:val="5"/>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widowControl w:val="0"/>
      <w:ind w:firstLine="420" w:firstLineChars="200"/>
      <w:jc w:val="both"/>
    </w:pPr>
    <w:rPr>
      <w:rFonts w:asciiTheme="minorHAnsi" w:hAnsiTheme="minorHAnsi" w:eastAsiaTheme="minorEastAsia" w:cstheme="minorBidi"/>
      <w:szCs w:val="22"/>
    </w:rPr>
  </w:style>
  <w:style w:type="character" w:customStyle="1" w:styleId="14">
    <w:name w:val="标题 3 字符"/>
    <w:basedOn w:val="8"/>
    <w:link w:val="2"/>
    <w:uiPriority w:val="9"/>
    <w:rPr>
      <w:rFonts w:ascii="宋体" w:hAnsi="宋体" w:eastAsia="宋体" w:cs="宋体"/>
      <w:b/>
      <w:bCs/>
      <w:sz w:val="27"/>
      <w:szCs w:val="27"/>
    </w:rPr>
  </w:style>
  <w:style w:type="paragraph" w:customStyle="1" w:styleId="15">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6">
    <w:name w:val="批注文字 字符"/>
    <w:basedOn w:val="8"/>
    <w:link w:val="3"/>
    <w:semiHidden/>
    <w:uiPriority w:val="99"/>
    <w:rPr>
      <w:rFonts w:ascii="Times New Roman" w:hAnsi="Times New Roman" w:eastAsia="宋体" w:cs="Times New Roman"/>
      <w:kern w:val="2"/>
      <w:sz w:val="21"/>
      <w:szCs w:val="24"/>
    </w:rPr>
  </w:style>
  <w:style w:type="character" w:customStyle="1" w:styleId="17">
    <w:name w:val="批注主题 字符"/>
    <w:basedOn w:val="16"/>
    <w:link w:val="6"/>
    <w:semiHidden/>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365CBF-09C8-46DC-B1A9-73107A1691B0}">
  <ds:schemaRefs/>
</ds:datastoreItem>
</file>

<file path=docProps/app.xml><?xml version="1.0" encoding="utf-8"?>
<Properties xmlns="http://schemas.openxmlformats.org/officeDocument/2006/extended-properties" xmlns:vt="http://schemas.openxmlformats.org/officeDocument/2006/docPropsVTypes">
  <Template>Normal</Template>
  <Company>qinghua2017.com</Company>
  <Pages>15</Pages>
  <Words>1300</Words>
  <Characters>7413</Characters>
  <Lines>61</Lines>
  <Paragraphs>17</Paragraphs>
  <TotalTime>1055</TotalTime>
  <ScaleCrop>false</ScaleCrop>
  <LinksUpToDate>false</LinksUpToDate>
  <CharactersWithSpaces>8696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2021-03-11T01:12:00Z</dcterms:created>
  <dc:creator>qinghua2017.com</dc:creator>
  <cp:lastModifiedBy>767355642</cp:lastModifiedBy>
  <cp:lastPrinted>2022-01-12T06:07:00Z</cp:lastPrinted>
  <dcterms:modified xsi:type="dcterms:W3CDTF">2022-03-10T01:46:38Z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0D9D9895BF7F4A48994747AF039D1EB8</vt:lpwstr>
  </property>
</Properties>
</file>