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cs="黑体"/>
          <w:sz w:val="32"/>
          <w:szCs w:val="32"/>
        </w:rPr>
      </w:pPr>
      <w:r>
        <w:rPr>
          <w:rFonts w:hint="eastAsia" w:ascii="Times New Roman" w:hAnsi="Times New Roman" w:eastAsia="黑体" w:cs="黑体"/>
          <w:sz w:val="32"/>
          <w:szCs w:val="32"/>
        </w:rPr>
        <w:t>附件7：</w:t>
      </w:r>
    </w:p>
    <w:p>
      <w:pPr>
        <w:ind w:firstLine="480" w:firstLineChars="200"/>
        <w:rPr>
          <w:rFonts w:ascii="Times New Roman" w:hAnsi="Times New Roman" w:eastAsia="昆仑黑体"/>
          <w:sz w:val="24"/>
        </w:rPr>
      </w:pPr>
    </w:p>
    <w:p>
      <w:pPr>
        <w:jc w:val="center"/>
        <w:outlineLvl w:val="0"/>
        <w:rPr>
          <w:rFonts w:ascii="Times New Roman" w:hAnsi="Times New Roman" w:eastAsia="方正小标宋简体"/>
          <w:b/>
          <w:bCs/>
          <w:sz w:val="52"/>
          <w:szCs w:val="52"/>
        </w:rPr>
      </w:pPr>
    </w:p>
    <w:p>
      <w:pPr>
        <w:jc w:val="center"/>
        <w:outlineLvl w:val="0"/>
        <w:rPr>
          <w:rFonts w:ascii="Times New Roman" w:hAnsi="Times New Roman" w:eastAsia="方正小标宋简体"/>
          <w:b/>
          <w:bCs/>
          <w:sz w:val="52"/>
          <w:szCs w:val="52"/>
        </w:rPr>
      </w:pPr>
      <w:r>
        <w:rPr>
          <w:rFonts w:hint="eastAsia" w:ascii="Times New Roman" w:hAnsi="Times New Roman" w:eastAsia="方正小标宋简体"/>
          <w:b/>
          <w:bCs/>
          <w:sz w:val="52"/>
          <w:szCs w:val="52"/>
        </w:rPr>
        <w:t>学位授权点建设年度报告</w:t>
      </w:r>
    </w:p>
    <w:p>
      <w:pPr>
        <w:jc w:val="center"/>
        <w:rPr>
          <w:rFonts w:ascii="Times New Roman" w:hAnsi="Times New Roman"/>
          <w:sz w:val="32"/>
          <w:szCs w:val="32"/>
        </w:rPr>
      </w:pPr>
      <w:r>
        <w:rPr>
          <w:rFonts w:hint="eastAsia" w:ascii="Times New Roman" w:hAnsi="Times New Roman"/>
          <w:sz w:val="32"/>
          <w:szCs w:val="32"/>
        </w:rPr>
        <w:t>（2021年）</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tbl>
      <w:tblPr>
        <w:tblStyle w:val="8"/>
        <w:tblW w:w="775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983"/>
        <w:gridCol w:w="4767"/>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PrEx>
        <w:trPr>
          <w:trHeight w:val="426" w:hRule="atLeast"/>
          <w:jc w:val="center"/>
        </w:trPr>
        <w:tc>
          <w:tcPr>
            <w:tcW w:w="2983" w:type="dxa"/>
            <w:tcBorders>
              <w:top w:val="nil"/>
              <w:bottom w:val="nil"/>
            </w:tcBorders>
          </w:tcPr>
          <w:p>
            <w:pPr>
              <w:spacing w:line="400" w:lineRule="exact"/>
              <w:rPr>
                <w:rFonts w:ascii="Times New Roman" w:hAnsi="Times New Roman" w:eastAsia="仿宋_GB2312"/>
                <w:bCs/>
                <w:sz w:val="28"/>
              </w:rPr>
            </w:pPr>
          </w:p>
        </w:tc>
        <w:tc>
          <w:tcPr>
            <w:tcW w:w="4767" w:type="dxa"/>
            <w:tcBorders>
              <w:top w:val="nil"/>
              <w:bottom w:val="nil"/>
            </w:tcBorders>
          </w:tcPr>
          <w:p>
            <w:pPr>
              <w:spacing w:line="400" w:lineRule="exact"/>
              <w:ind w:firstLine="280" w:firstLineChars="100"/>
              <w:rPr>
                <w:rFonts w:ascii="Times New Roman" w:hAnsi="Times New Roman" w:eastAsia="仿宋_GB2312"/>
                <w:bCs/>
                <w:sz w:val="28"/>
              </w:rPr>
            </w:pPr>
            <w:r>
              <w:rPr>
                <w:rFonts w:ascii="Times New Roman" w:hAnsi="Times New Roman" w:eastAsia="仿宋_GB2312"/>
                <w:bCs/>
                <w:sz w:val="28"/>
              </w:rPr>
              <w:t>名称</w:t>
            </w:r>
            <w:r>
              <w:rPr>
                <w:rFonts w:hint="eastAsia" w:ascii="Times New Roman" w:hAnsi="Times New Roman" w:eastAsia="仿宋_GB2312"/>
                <w:bCs/>
                <w:sz w:val="28"/>
                <w:lang w:eastAsia="zh-CN"/>
              </w:rPr>
              <w:t>：</w:t>
            </w:r>
            <w:r>
              <w:rPr>
                <w:rFonts w:hint="eastAsia" w:ascii="Times New Roman" w:hAnsi="Times New Roman"/>
                <w:sz w:val="28"/>
                <w:szCs w:val="28"/>
              </w:rPr>
              <w:t xml:space="preserve"> 数学</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983" w:type="dxa"/>
            <w:tcBorders>
              <w:top w:val="nil"/>
              <w:bottom w:val="nil"/>
            </w:tcBorders>
          </w:tcPr>
          <w:p>
            <w:pPr>
              <w:spacing w:line="400" w:lineRule="exact"/>
              <w:ind w:right="280"/>
              <w:jc w:val="right"/>
              <w:rPr>
                <w:rFonts w:ascii="Times New Roman" w:hAnsi="Times New Roman" w:eastAsia="仿宋_GB2312"/>
                <w:bCs/>
                <w:sz w:val="28"/>
              </w:rPr>
            </w:pPr>
            <w:r>
              <w:rPr>
                <w:rFonts w:ascii="Times New Roman" w:hAnsi="Times New Roman" w:eastAsia="仿宋_GB2312"/>
                <w:bCs/>
                <w:sz w:val="28"/>
              </w:rPr>
              <w:t>一级学科</w:t>
            </w:r>
            <w:r>
              <w:rPr>
                <w:rFonts w:hint="eastAsia" w:ascii="Times New Roman" w:hAnsi="Times New Roman" w:eastAsia="仿宋_GB2312"/>
                <w:bCs/>
                <w:sz w:val="28"/>
              </w:rPr>
              <w:t>（学位类别）</w:t>
            </w:r>
          </w:p>
        </w:tc>
        <w:tc>
          <w:tcPr>
            <w:tcW w:w="4767" w:type="dxa"/>
            <w:tcBorders>
              <w:top w:val="nil"/>
              <w:bottom w:val="nil"/>
            </w:tcBorders>
          </w:tcPr>
          <w:p>
            <w:pPr>
              <w:spacing w:line="400" w:lineRule="exact"/>
              <w:rPr>
                <w:rFonts w:ascii="Times New Roman" w:hAnsi="Times New Roman" w:eastAsia="仿宋_GB2312"/>
                <w:bCs/>
                <w:sz w:val="28"/>
              </w:rPr>
            </w:pP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hint="eastAsia" w:ascii="Times New Roman" w:hAnsi="Times New Roman" w:eastAsia="仿宋_GB2312"/>
                <w:bCs/>
                <w:sz w:val="28"/>
              </w:rPr>
              <w:t xml:space="preserve">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983" w:type="dxa"/>
            <w:tcBorders>
              <w:top w:val="nil"/>
            </w:tcBorders>
          </w:tcPr>
          <w:p>
            <w:pPr>
              <w:spacing w:line="400" w:lineRule="exact"/>
              <w:ind w:right="419"/>
              <w:jc w:val="center"/>
              <w:rPr>
                <w:rFonts w:ascii="Times New Roman" w:hAnsi="Times New Roman" w:eastAsia="仿宋_GB2312"/>
                <w:bCs/>
                <w:sz w:val="28"/>
              </w:rPr>
            </w:pPr>
            <w:r>
              <w:rPr>
                <w:rFonts w:hint="eastAsia" w:ascii="Times New Roman" w:hAnsi="Times New Roman" w:eastAsia="仿宋_GB2312"/>
                <w:bCs/>
                <w:sz w:val="28"/>
              </w:rPr>
              <w:sym w:font="Wingdings 2" w:char="F052"/>
            </w:r>
            <w:r>
              <w:rPr>
                <w:rFonts w:ascii="Times New Roman" w:hAnsi="Times New Roman" w:eastAsia="仿宋_GB2312"/>
                <w:bCs/>
                <w:sz w:val="28"/>
              </w:rPr>
              <mc:AlternateContent>
                <mc:Choice Requires="wps">
                  <w:drawing>
                    <wp:anchor distT="0" distB="0" distL="113665" distR="113665" simplePos="0" relativeHeight="251660288" behindDoc="0" locked="0" layoutInCell="1" allowOverlap="1">
                      <wp:simplePos x="0" y="0"/>
                      <wp:positionH relativeFrom="column">
                        <wp:posOffset>805180</wp:posOffset>
                      </wp:positionH>
                      <wp:positionV relativeFrom="paragraph">
                        <wp:posOffset>15240</wp:posOffset>
                      </wp:positionV>
                      <wp:extent cx="0" cy="266700"/>
                      <wp:effectExtent l="0" t="0" r="19050" b="19050"/>
                      <wp:wrapNone/>
                      <wp:docPr id="1" name="AutoShape 2"/>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ln>
                            </wps:spPr>
                            <wps:bodyPr/>
                          </wps:wsp>
                        </a:graphicData>
                      </a:graphic>
                    </wp:anchor>
                  </w:drawing>
                </mc:Choice>
                <mc:Fallback>
                  <w:pict>
                    <v:shape id="AutoShape 2" o:spid="_x0000_s1026" o:spt="32" type="#_x0000_t32" style="position:absolute;left:0pt;margin-left:63.4pt;margin-top:1.2pt;height:21pt;width:0pt;z-index:251660288;mso-width-relative:page;mso-height-relative:page;" filled="f" stroked="t" coordsize="21600,21600" o:gfxdata="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2oix61QAAAAgBAAAPAAAAAAAAAAEAIAAAACIA&#10;AABkcnMvZG93bnJldi54bWxQSwECFAAUAAAACACHTuJAikJzHNMBAACxAwAADgAAAAAAAAABACAA&#10;AAAkAQAAZHJzL2Uyb0RvYy54bWxQSwUGAAAAAAYABgBZAQAAaQUAAAAA&#10;">
                      <v:fill on="f" focussize="0,0"/>
                      <v:stroke color="#000000" joinstyle="round"/>
                      <v:imagedata o:title=""/>
                      <o:lock v:ext="edit" aspectratio="f"/>
                    </v:shape>
                  </w:pict>
                </mc:Fallback>
              </mc:AlternateContent>
            </w:r>
            <w:r>
              <w:rPr>
                <w:rFonts w:hint="eastAsia" w:ascii="Times New Roman" w:hAnsi="Times New Roman" w:eastAsia="仿宋_GB2312"/>
                <w:bCs/>
                <w:sz w:val="28"/>
              </w:rPr>
              <w:t>博   □硕</w:t>
            </w:r>
          </w:p>
        </w:tc>
        <w:tc>
          <w:tcPr>
            <w:tcW w:w="4767" w:type="dxa"/>
            <w:tcBorders>
              <w:top w:val="nil"/>
              <w:bottom w:val="nil"/>
            </w:tcBorders>
          </w:tcPr>
          <w:p>
            <w:pPr>
              <w:spacing w:line="400" w:lineRule="exact"/>
              <w:ind w:firstLine="280" w:firstLineChars="100"/>
              <w:rPr>
                <w:rFonts w:ascii="Times New Roman" w:hAnsi="Times New Roman" w:eastAsia="仿宋_GB2312"/>
                <w:bCs/>
                <w:sz w:val="28"/>
              </w:rPr>
            </w:pPr>
            <w:r>
              <w:rPr>
                <w:rFonts w:ascii="Times New Roman" w:hAnsi="Times New Roman" w:eastAsia="仿宋_GB2312"/>
                <w:bCs/>
                <w:sz w:val="28"/>
              </w:rPr>
              <w:t>代码</w:t>
            </w:r>
            <w:r>
              <w:rPr>
                <w:rFonts w:hint="eastAsia" w:ascii="Times New Roman" w:hAnsi="Times New Roman" w:eastAsia="仿宋_GB2312"/>
                <w:bCs/>
                <w:sz w:val="28"/>
                <w:lang w:eastAsia="zh-CN"/>
              </w:rPr>
              <w:t>：</w:t>
            </w:r>
            <w:r>
              <w:rPr>
                <w:rFonts w:hint="eastAsia" w:ascii="Times New Roman" w:hAnsi="Times New Roman" w:eastAsia="仿宋_GB2312"/>
                <w:bCs/>
                <w:sz w:val="28"/>
              </w:rPr>
              <w:t xml:space="preserve"> </w:t>
            </w:r>
            <w:r>
              <w:rPr>
                <w:rFonts w:hint="eastAsia" w:ascii="Times New Roman" w:hAnsi="Times New Roman"/>
                <w:sz w:val="28"/>
                <w:szCs w:val="28"/>
              </w:rPr>
              <w:t xml:space="preserve"> </w:t>
            </w:r>
            <w:r>
              <w:rPr>
                <w:rFonts w:ascii="Times New Roman" w:hAnsi="Times New Roman"/>
                <w:sz w:val="28"/>
                <w:szCs w:val="28"/>
              </w:rPr>
              <w:t>0701</w:t>
            </w:r>
          </w:p>
        </w:tc>
      </w:tr>
    </w:tbl>
    <w:p>
      <w:pPr>
        <w:rPr>
          <w:rFonts w:ascii="Times New Roman" w:hAnsi="Times New Roman" w:eastAsia="仿宋_GB2312"/>
          <w:sz w:val="24"/>
          <w:u w:val="thick"/>
        </w:rPr>
      </w:pPr>
    </w:p>
    <w:p>
      <w:pPr>
        <w:rPr>
          <w:rFonts w:ascii="Times New Roman" w:hAnsi="Times New Roman" w:eastAsia="仿宋_GB2312"/>
          <w:sz w:val="24"/>
          <w:u w:val="thick"/>
        </w:rPr>
      </w:pPr>
    </w:p>
    <w:p>
      <w:pPr>
        <w:rPr>
          <w:rFonts w:ascii="Times New Roman" w:hAnsi="Times New Roman" w:eastAsia="仿宋_GB2312"/>
          <w:sz w:val="24"/>
          <w:u w:val="thick"/>
        </w:rPr>
      </w:pPr>
    </w:p>
    <w:p>
      <w:pPr>
        <w:jc w:val="center"/>
        <w:rPr>
          <w:rFonts w:ascii="Times New Roman" w:hAnsi="Times New Roman" w:eastAsia="仿宋_GB2312"/>
          <w:sz w:val="24"/>
          <w:u w:val="thick"/>
        </w:rPr>
      </w:pPr>
    </w:p>
    <w:p>
      <w:pPr>
        <w:jc w:val="center"/>
        <w:rPr>
          <w:rFonts w:ascii="Times New Roman" w:hAnsi="Times New Roman" w:eastAsia="仿宋_GB2312"/>
          <w:sz w:val="24"/>
          <w:u w:val="thick"/>
        </w:rPr>
      </w:pPr>
    </w:p>
    <w:tbl>
      <w:tblPr>
        <w:tblStyle w:val="8"/>
        <w:tblW w:w="775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983"/>
        <w:gridCol w:w="4767"/>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983" w:type="dxa"/>
            <w:tcBorders>
              <w:top w:val="nil"/>
              <w:bottom w:val="nil"/>
            </w:tcBorders>
          </w:tcPr>
          <w:p>
            <w:pPr>
              <w:spacing w:line="400" w:lineRule="exact"/>
              <w:rPr>
                <w:rFonts w:ascii="Times New Roman" w:hAnsi="Times New Roman" w:eastAsia="仿宋_GB2312"/>
                <w:bCs/>
                <w:sz w:val="28"/>
              </w:rPr>
            </w:pPr>
          </w:p>
        </w:tc>
        <w:tc>
          <w:tcPr>
            <w:tcW w:w="4767" w:type="dxa"/>
            <w:tcBorders>
              <w:top w:val="nil"/>
              <w:bottom w:val="nil"/>
            </w:tcBorders>
          </w:tcPr>
          <w:p>
            <w:pPr>
              <w:spacing w:line="400" w:lineRule="exact"/>
              <w:ind w:firstLine="280" w:firstLineChars="100"/>
              <w:rPr>
                <w:rFonts w:ascii="Times New Roman" w:hAnsi="Times New Roman" w:eastAsia="仿宋_GB2312"/>
                <w:bCs/>
                <w:sz w:val="28"/>
              </w:rPr>
            </w:pPr>
            <w:r>
              <w:rPr>
                <w:rFonts w:hint="eastAsia" w:ascii="Times New Roman" w:hAnsi="Times New Roman" w:eastAsia="仿宋_GB2312"/>
                <w:bCs/>
                <w:sz w:val="28"/>
              </w:rPr>
              <w:t>牵头学院：数学与统计学院</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983" w:type="dxa"/>
            <w:tcBorders>
              <w:top w:val="nil"/>
              <w:bottom w:val="nil"/>
            </w:tcBorders>
          </w:tcPr>
          <w:p>
            <w:pPr>
              <w:spacing w:line="400" w:lineRule="exact"/>
              <w:ind w:right="280"/>
              <w:jc w:val="center"/>
              <w:rPr>
                <w:rFonts w:ascii="Times New Roman" w:hAnsi="Times New Roman" w:eastAsia="仿宋_GB2312"/>
                <w:bCs/>
                <w:sz w:val="28"/>
              </w:rPr>
            </w:pPr>
          </w:p>
        </w:tc>
        <w:tc>
          <w:tcPr>
            <w:tcW w:w="4767" w:type="dxa"/>
            <w:tcBorders>
              <w:top w:val="nil"/>
              <w:bottom w:val="nil"/>
            </w:tcBorders>
          </w:tcPr>
          <w:p>
            <w:pPr>
              <w:spacing w:line="400" w:lineRule="exact"/>
              <w:rPr>
                <w:rFonts w:ascii="Times New Roman" w:hAnsi="Times New Roman" w:eastAsia="仿宋_GB2312"/>
                <w:bCs/>
                <w:sz w:val="28"/>
              </w:rPr>
            </w:pP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983" w:type="dxa"/>
            <w:tcBorders>
              <w:top w:val="nil"/>
              <w:bottom w:val="nil"/>
            </w:tcBorders>
          </w:tcPr>
          <w:p>
            <w:pPr>
              <w:spacing w:line="400" w:lineRule="exact"/>
              <w:ind w:right="419"/>
              <w:jc w:val="center"/>
              <w:rPr>
                <w:rFonts w:ascii="Times New Roman" w:hAnsi="Times New Roman" w:eastAsia="仿宋_GB2312"/>
                <w:bCs/>
                <w:sz w:val="28"/>
              </w:rPr>
            </w:pPr>
            <w:r>
              <w:rPr>
                <w:rFonts w:hint="eastAsia" w:ascii="Times New Roman" w:hAnsi="Times New Roman" w:eastAsia="仿宋_GB2312"/>
                <w:bCs/>
                <w:sz w:val="28"/>
              </w:rPr>
              <w:t>材料联系人</w:t>
            </w:r>
          </w:p>
        </w:tc>
        <w:tc>
          <w:tcPr>
            <w:tcW w:w="4767" w:type="dxa"/>
            <w:tcBorders>
              <w:top w:val="nil"/>
              <w:bottom w:val="nil"/>
            </w:tcBorders>
          </w:tcPr>
          <w:p>
            <w:pPr>
              <w:spacing w:line="400" w:lineRule="exact"/>
              <w:ind w:firstLine="280" w:firstLineChars="100"/>
              <w:rPr>
                <w:rFonts w:ascii="Times New Roman" w:hAnsi="Times New Roman" w:eastAsia="仿宋_GB2312"/>
                <w:bCs/>
                <w:sz w:val="28"/>
              </w:rPr>
            </w:pPr>
            <w:r>
              <w:rPr>
                <w:rFonts w:hint="eastAsia" w:ascii="Times New Roman" w:hAnsi="Times New Roman" w:eastAsia="仿宋_GB2312"/>
                <w:bCs/>
                <w:sz w:val="28"/>
              </w:rPr>
              <w:t>姓名</w:t>
            </w:r>
            <w:r>
              <w:rPr>
                <w:rFonts w:hint="eastAsia" w:ascii="Times New Roman" w:hAnsi="Times New Roman" w:eastAsia="仿宋_GB2312"/>
                <w:bCs/>
                <w:sz w:val="28"/>
                <w:lang w:eastAsia="zh-CN"/>
              </w:rPr>
              <w:t>：</w:t>
            </w:r>
            <w:r>
              <w:rPr>
                <w:rFonts w:hint="eastAsia" w:ascii="Times New Roman" w:hAnsi="Times New Roman" w:eastAsia="仿宋_GB2312"/>
                <w:bCs/>
                <w:sz w:val="28"/>
              </w:rPr>
              <w:t>黄元秋</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983" w:type="dxa"/>
            <w:tcBorders>
              <w:top w:val="nil"/>
              <w:bottom w:val="nil"/>
            </w:tcBorders>
          </w:tcPr>
          <w:p>
            <w:pPr>
              <w:spacing w:line="400" w:lineRule="exact"/>
              <w:ind w:right="419"/>
              <w:rPr>
                <w:rFonts w:ascii="Times New Roman" w:hAnsi="Times New Roman" w:eastAsia="仿宋_GB2312"/>
                <w:bCs/>
                <w:sz w:val="28"/>
              </w:rPr>
            </w:pPr>
          </w:p>
        </w:tc>
        <w:tc>
          <w:tcPr>
            <w:tcW w:w="4767" w:type="dxa"/>
            <w:tcBorders>
              <w:top w:val="nil"/>
              <w:bottom w:val="nil"/>
            </w:tcBorders>
          </w:tcPr>
          <w:p>
            <w:pPr>
              <w:spacing w:line="400" w:lineRule="exact"/>
              <w:rPr>
                <w:rFonts w:ascii="Times New Roman" w:hAnsi="Times New Roman" w:eastAsia="仿宋_GB2312"/>
                <w:bCs/>
                <w:sz w:val="28"/>
              </w:rPr>
            </w:pP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r>
              <w:rPr>
                <w:rFonts w:ascii="Times New Roman" w:hAnsi="Times New Roman" w:eastAsia="仿宋_GB2312"/>
                <w:bCs/>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983" w:type="dxa"/>
            <w:tcBorders>
              <w:top w:val="nil"/>
            </w:tcBorders>
          </w:tcPr>
          <w:p>
            <w:pPr>
              <w:spacing w:line="400" w:lineRule="exact"/>
              <w:ind w:right="419"/>
              <w:rPr>
                <w:rFonts w:ascii="Times New Roman" w:hAnsi="Times New Roman" w:eastAsia="仿宋_GB2312"/>
                <w:bCs/>
                <w:sz w:val="28"/>
              </w:rPr>
            </w:pPr>
          </w:p>
        </w:tc>
        <w:tc>
          <w:tcPr>
            <w:tcW w:w="4767" w:type="dxa"/>
            <w:tcBorders>
              <w:top w:val="nil"/>
              <w:bottom w:val="nil"/>
            </w:tcBorders>
          </w:tcPr>
          <w:p>
            <w:pPr>
              <w:spacing w:line="400" w:lineRule="exact"/>
              <w:ind w:firstLine="280" w:firstLineChars="100"/>
              <w:rPr>
                <w:rFonts w:ascii="Times New Roman" w:hAnsi="Times New Roman" w:eastAsia="仿宋_GB2312"/>
                <w:bCs/>
                <w:sz w:val="28"/>
              </w:rPr>
            </w:pPr>
            <w:r>
              <w:rPr>
                <w:rFonts w:hint="eastAsia" w:ascii="Times New Roman" w:hAnsi="Times New Roman" w:eastAsia="仿宋_GB2312"/>
                <w:bCs/>
                <w:sz w:val="28"/>
              </w:rPr>
              <w:t>电话</w:t>
            </w:r>
            <w:r>
              <w:rPr>
                <w:rFonts w:hint="eastAsia" w:ascii="Times New Roman" w:hAnsi="Times New Roman" w:eastAsia="仿宋_GB2312"/>
                <w:bCs/>
                <w:sz w:val="28"/>
                <w:lang w:eastAsia="zh-CN"/>
              </w:rPr>
              <w:t>：</w:t>
            </w:r>
            <w:r>
              <w:rPr>
                <w:rFonts w:ascii="Times New Roman" w:hAnsi="Times New Roman" w:eastAsia="仿宋_GB2312"/>
                <w:bCs/>
                <w:sz w:val="28"/>
              </w:rPr>
              <w:t>13</w:t>
            </w:r>
            <w:r>
              <w:rPr>
                <w:rFonts w:hint="eastAsia" w:ascii="Times New Roman" w:hAnsi="Times New Roman" w:eastAsia="仿宋_GB2312"/>
                <w:bCs/>
                <w:sz w:val="28"/>
              </w:rPr>
              <w:t>13873108875</w:t>
            </w:r>
          </w:p>
        </w:tc>
      </w:tr>
    </w:tbl>
    <w:p>
      <w:pPr>
        <w:rPr>
          <w:rFonts w:ascii="Times New Roman" w:hAnsi="Times New Roman"/>
          <w:sz w:val="24"/>
        </w:rPr>
      </w:pPr>
    </w:p>
    <w:p>
      <w:pPr>
        <w:rPr>
          <w:rFonts w:ascii="Times New Roman" w:hAnsi="Times New Roman"/>
          <w:sz w:val="24"/>
          <w:u w:val="thick"/>
        </w:rPr>
      </w:pPr>
    </w:p>
    <w:p>
      <w:pPr>
        <w:rPr>
          <w:rFonts w:ascii="Times New Roman" w:hAnsi="Times New Roman"/>
          <w:sz w:val="24"/>
          <w:u w:val="thick"/>
        </w:rPr>
      </w:pPr>
    </w:p>
    <w:p>
      <w:pPr>
        <w:rPr>
          <w:rFonts w:ascii="Times New Roman" w:hAnsi="Times New Roman"/>
          <w:sz w:val="24"/>
          <w:u w:val="thick"/>
        </w:rPr>
      </w:pPr>
    </w:p>
    <w:p>
      <w:pPr>
        <w:rPr>
          <w:rFonts w:ascii="Times New Roman" w:hAnsi="Times New Roman"/>
          <w:sz w:val="24"/>
          <w:u w:val="thick"/>
        </w:rPr>
      </w:pPr>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sz w:val="24"/>
          <w:u w:val="thick"/>
        </w:rPr>
      </w:pPr>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sz w:val="24"/>
          <w:u w:val="thick"/>
        </w:rPr>
      </w:pPr>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sz w:val="24"/>
          <w:u w:val="thick"/>
        </w:rPr>
      </w:pPr>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仿宋_GB2312"/>
          <w:sz w:val="32"/>
        </w:rPr>
      </w:pPr>
      <w:r>
        <w:rPr>
          <w:rFonts w:hint="eastAsia" w:ascii="Times New Roman" w:hAnsi="Times New Roman" w:eastAsia="仿宋_GB2312"/>
          <w:sz w:val="32"/>
        </w:rPr>
        <w:t>湖南师范大学学位评定委员会</w:t>
      </w:r>
      <w:r>
        <w:rPr>
          <w:rFonts w:ascii="Times New Roman" w:hAnsi="Times New Roman" w:eastAsia="仿宋_GB2312"/>
          <w:sz w:val="32"/>
        </w:rPr>
        <w:t>办公室制</w:t>
      </w:r>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仿宋"/>
          <w:sz w:val="28"/>
          <w:szCs w:val="28"/>
        </w:rPr>
      </w:pPr>
      <w:r>
        <w:rPr>
          <w:rFonts w:ascii="Times New Roman" w:hAnsi="Times New Roman" w:eastAsia="仿宋"/>
          <w:sz w:val="28"/>
          <w:szCs w:val="28"/>
        </w:rPr>
        <w:t>202</w:t>
      </w:r>
      <w:r>
        <w:rPr>
          <w:rFonts w:hint="eastAsia" w:ascii="Times New Roman" w:hAnsi="Times New Roman" w:eastAsia="仿宋"/>
          <w:sz w:val="28"/>
          <w:szCs w:val="28"/>
        </w:rPr>
        <w:t>2</w:t>
      </w:r>
      <w:r>
        <w:rPr>
          <w:rFonts w:ascii="Times New Roman" w:hAnsi="Times New Roman" w:eastAsia="仿宋"/>
          <w:sz w:val="28"/>
          <w:szCs w:val="28"/>
        </w:rPr>
        <w:t>年</w:t>
      </w:r>
      <w:r>
        <w:rPr>
          <w:rFonts w:hint="eastAsia" w:ascii="Times New Roman" w:hAnsi="Times New Roman" w:eastAsia="仿宋"/>
          <w:sz w:val="28"/>
          <w:szCs w:val="28"/>
        </w:rPr>
        <w:t>1</w:t>
      </w:r>
      <w:r>
        <w:rPr>
          <w:rFonts w:ascii="Times New Roman" w:hAnsi="Times New Roman" w:eastAsia="仿宋"/>
          <w:sz w:val="28"/>
          <w:szCs w:val="28"/>
        </w:rPr>
        <w:t>月</w:t>
      </w:r>
      <w:r>
        <w:rPr>
          <w:rFonts w:hint="eastAsia" w:ascii="Times New Roman" w:hAnsi="Times New Roman" w:eastAsia="仿宋"/>
          <w:sz w:val="28"/>
          <w:szCs w:val="28"/>
        </w:rPr>
        <w:t>17</w:t>
      </w:r>
      <w:r>
        <w:rPr>
          <w:rFonts w:ascii="Times New Roman" w:hAnsi="Times New Roman" w:eastAsia="仿宋"/>
          <w:sz w:val="28"/>
          <w:szCs w:val="28"/>
        </w:rPr>
        <w:t>日</w:t>
      </w:r>
    </w:p>
    <w:p>
      <w:pPr>
        <w:rPr>
          <w:rFonts w:ascii="Times New Roman" w:hAnsi="Times New Roman"/>
        </w:rPr>
      </w:pPr>
      <w:r>
        <w:rPr>
          <w:rFonts w:ascii="Times New Roman" w:hAnsi="Times New Roman"/>
        </w:rPr>
        <w:br w:type="page"/>
      </w:r>
    </w:p>
    <w:p>
      <w:pPr>
        <w:spacing w:line="360" w:lineRule="auto"/>
        <w:rPr>
          <w:rFonts w:ascii="Times New Roman" w:hAnsi="Times New Roman" w:eastAsia="黑体"/>
          <w:sz w:val="32"/>
          <w:szCs w:val="32"/>
        </w:rPr>
      </w:pPr>
      <w:r>
        <w:rPr>
          <w:rFonts w:ascii="Times New Roman" w:hAnsi="Times New Roman" w:eastAsia="黑体"/>
          <w:sz w:val="32"/>
          <w:szCs w:val="32"/>
        </w:rPr>
        <w:t>一</w:t>
      </w:r>
      <w:r>
        <w:rPr>
          <w:rFonts w:hint="eastAsia" w:ascii="Times New Roman" w:hAnsi="Times New Roman" w:eastAsia="黑体"/>
          <w:sz w:val="32"/>
          <w:szCs w:val="32"/>
        </w:rPr>
        <w:t>、学位授权点基本概况与年度发展目标</w:t>
      </w:r>
    </w:p>
    <w:p>
      <w:pPr>
        <w:keepNext w:val="0"/>
        <w:keepLines w:val="0"/>
        <w:pageBreakBefore w:val="0"/>
        <w:kinsoku/>
        <w:wordWrap/>
        <w:overflowPunct/>
        <w:topLinePunct w:val="0"/>
        <w:autoSpaceDE/>
        <w:autoSpaceDN/>
        <w:bidi w:val="0"/>
        <w:snapToGrid/>
        <w:spacing w:line="360" w:lineRule="auto"/>
        <w:ind w:left="0" w:firstLine="602" w:firstLineChars="200"/>
        <w:jc w:val="both"/>
        <w:rPr>
          <w:rFonts w:ascii="Times New Roman" w:hAnsi="Times New Roman" w:cs="宋体"/>
          <w:b/>
          <w:color w:val="000000" w:themeColor="text1"/>
          <w:sz w:val="30"/>
          <w:szCs w:val="30"/>
          <w14:textFill>
            <w14:solidFill>
              <w14:schemeClr w14:val="tx1"/>
            </w14:solidFill>
          </w14:textFill>
        </w:rPr>
      </w:pPr>
      <w:r>
        <w:rPr>
          <w:rFonts w:hint="eastAsia" w:ascii="Times New Roman" w:hAnsi="Times New Roman" w:cs="宋体"/>
          <w:b/>
          <w:color w:val="000000" w:themeColor="text1"/>
          <w:sz w:val="30"/>
          <w:szCs w:val="30"/>
          <w14:textFill>
            <w14:solidFill>
              <w14:schemeClr w14:val="tx1"/>
            </w14:solidFill>
          </w14:textFill>
        </w:rPr>
        <w:t>1．学位授权点基本概况</w:t>
      </w:r>
    </w:p>
    <w:p>
      <w:pPr>
        <w:keepNext w:val="0"/>
        <w:keepLines w:val="0"/>
        <w:pageBreakBefore w:val="0"/>
        <w:kinsoku/>
        <w:wordWrap/>
        <w:overflowPunct/>
        <w:topLinePunct w:val="0"/>
        <w:autoSpaceDE/>
        <w:autoSpaceDN/>
        <w:bidi w:val="0"/>
        <w:snapToGrid/>
        <w:spacing w:line="360" w:lineRule="auto"/>
        <w:ind w:left="0" w:firstLine="480" w:firstLineChars="200"/>
        <w:jc w:val="both"/>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数学学科为一级学科博士学位授权点，是国家“211”工程第二、三期重点建设学科、湖南省“十二五”一级重点学科、“十三五”湖南师范大学一流学科。“基础数学”为湖南省“九五”、“十五”“十一”重点学科，并于2007年成为国家十一五重点（培育）学科；2000年获湖南省首个“基础数学”博士授予权，200</w:t>
      </w:r>
      <w:r>
        <w:rPr>
          <w:rFonts w:hint="eastAsia" w:cs="宋体"/>
          <w:color w:val="000000" w:themeColor="text1"/>
          <w:sz w:val="24"/>
          <w:lang w:val="en-US" w:eastAsia="zh-CN"/>
          <w14:textFill>
            <w14:solidFill>
              <w14:schemeClr w14:val="tx1"/>
            </w14:solidFill>
          </w14:textFill>
        </w:rPr>
        <w:t>6</w:t>
      </w:r>
      <w:bookmarkStart w:id="0" w:name="_GoBack"/>
      <w:bookmarkEnd w:id="0"/>
      <w:r>
        <w:rPr>
          <w:rFonts w:hint="eastAsia" w:ascii="Times New Roman" w:hAnsi="Times New Roman" w:cs="宋体"/>
          <w:color w:val="000000" w:themeColor="text1"/>
          <w:sz w:val="24"/>
          <w14:textFill>
            <w14:solidFill>
              <w14:schemeClr w14:val="tx1"/>
            </w14:solidFill>
          </w14:textFill>
        </w:rPr>
        <w:t>年获湖南省首个数学一级学科博士授予权；2008年“数学中的现代分析及其应用团队”获批为湖南省首届高校科技创新团队；2008年“计算与随机数学及其应用” 实验室获批湖南省普通高校重点实验室，2009年“高性能计算与随机信息处理”实验室获批为省部共建教育部重点实验室。2</w:t>
      </w:r>
      <w:r>
        <w:rPr>
          <w:rFonts w:ascii="Times New Roman" w:hAnsi="Times New Roman" w:cs="宋体"/>
          <w:color w:val="000000" w:themeColor="text1"/>
          <w:sz w:val="24"/>
          <w14:textFill>
            <w14:solidFill>
              <w14:schemeClr w14:val="tx1"/>
            </w14:solidFill>
          </w14:textFill>
        </w:rPr>
        <w:t>016年</w:t>
      </w:r>
      <w:r>
        <w:rPr>
          <w:rFonts w:hint="eastAsia" w:ascii="Times New Roman" w:hAnsi="Times New Roman" w:cs="宋体"/>
          <w:color w:val="000000" w:themeColor="text1"/>
          <w:sz w:val="24"/>
          <w14:textFill>
            <w14:solidFill>
              <w14:schemeClr w14:val="tx1"/>
            </w14:solidFill>
          </w14:textFill>
        </w:rPr>
        <w:t>在教育部第四轮学科评估中数学学科获评B+等级。本学科拥有国家数学与应用数学特色专业，湖南省“十三五”综合改革试点专业——数学与应用数学，湖南省数学基础课程教学团队。目前形成了以具有教师教育，注重内涵发展为特色的数学学士-硕士-博士-博后人才培养体系，致力培养具有深厚人文底蕴、科学素养和开放国际视野的高素质专门人才和拔尖创新人才。</w:t>
      </w:r>
    </w:p>
    <w:p>
      <w:pPr>
        <w:keepNext w:val="0"/>
        <w:keepLines w:val="0"/>
        <w:pageBreakBefore w:val="0"/>
        <w:kinsoku/>
        <w:wordWrap/>
        <w:overflowPunct/>
        <w:topLinePunct w:val="0"/>
        <w:autoSpaceDE/>
        <w:autoSpaceDN/>
        <w:bidi w:val="0"/>
        <w:snapToGrid/>
        <w:spacing w:line="360" w:lineRule="auto"/>
        <w:ind w:left="0" w:firstLine="602" w:firstLineChars="200"/>
        <w:jc w:val="both"/>
        <w:rPr>
          <w:rFonts w:ascii="Times New Roman" w:hAnsi="Times New Roman" w:cs="宋体"/>
          <w:b/>
          <w:color w:val="000000" w:themeColor="text1"/>
          <w:sz w:val="30"/>
          <w:szCs w:val="30"/>
          <w14:textFill>
            <w14:solidFill>
              <w14:schemeClr w14:val="tx1"/>
            </w14:solidFill>
          </w14:textFill>
        </w:rPr>
      </w:pPr>
      <w:r>
        <w:rPr>
          <w:rFonts w:ascii="Times New Roman" w:hAnsi="Times New Roman" w:cs="宋体"/>
          <w:b/>
          <w:color w:val="000000" w:themeColor="text1"/>
          <w:sz w:val="30"/>
          <w:szCs w:val="30"/>
          <w14:textFill>
            <w14:solidFill>
              <w14:schemeClr w14:val="tx1"/>
            </w14:solidFill>
          </w14:textFill>
        </w:rPr>
        <w:t>2</w:t>
      </w:r>
      <w:r>
        <w:rPr>
          <w:rFonts w:hint="eastAsia" w:ascii="Times New Roman" w:hAnsi="Times New Roman" w:cs="宋体"/>
          <w:b/>
          <w:color w:val="000000" w:themeColor="text1"/>
          <w:sz w:val="30"/>
          <w:szCs w:val="30"/>
          <w14:textFill>
            <w14:solidFill>
              <w14:schemeClr w14:val="tx1"/>
            </w14:solidFill>
          </w14:textFill>
        </w:rPr>
        <w:t>．年度发展目标</w:t>
      </w:r>
    </w:p>
    <w:p>
      <w:pPr>
        <w:keepNext w:val="0"/>
        <w:keepLines w:val="0"/>
        <w:pageBreakBefore w:val="0"/>
        <w:kinsoku/>
        <w:wordWrap/>
        <w:overflowPunct/>
        <w:topLinePunct w:val="0"/>
        <w:autoSpaceDE/>
        <w:autoSpaceDN/>
        <w:bidi w:val="0"/>
        <w:snapToGrid/>
        <w:spacing w:line="360" w:lineRule="auto"/>
        <w:ind w:left="0" w:firstLine="562" w:firstLineChars="200"/>
        <w:jc w:val="both"/>
        <w:rPr>
          <w:rFonts w:ascii="Times New Roman" w:hAnsi="Times New Roman" w:cs="宋体"/>
          <w:b/>
          <w:color w:val="000000" w:themeColor="text1"/>
          <w:sz w:val="28"/>
          <w:szCs w:val="28"/>
          <w14:textFill>
            <w14:solidFill>
              <w14:schemeClr w14:val="tx1"/>
            </w14:solidFill>
          </w14:textFill>
        </w:rPr>
      </w:pPr>
      <w:r>
        <w:rPr>
          <w:rFonts w:hint="eastAsia" w:ascii="Times New Roman" w:hAnsi="Times New Roman" w:cs="宋体"/>
          <w:b/>
          <w:color w:val="000000" w:themeColor="text1"/>
          <w:sz w:val="28"/>
          <w:szCs w:val="28"/>
          <w14:textFill>
            <w14:solidFill>
              <w14:schemeClr w14:val="tx1"/>
            </w14:solidFill>
          </w14:textFill>
        </w:rPr>
        <w:t>2</w:t>
      </w:r>
      <w:r>
        <w:rPr>
          <w:rFonts w:ascii="Times New Roman" w:hAnsi="Times New Roman" w:cs="宋体"/>
          <w:b/>
          <w:color w:val="000000" w:themeColor="text1"/>
          <w:sz w:val="28"/>
          <w:szCs w:val="28"/>
          <w14:textFill>
            <w14:solidFill>
              <w14:schemeClr w14:val="tx1"/>
            </w14:solidFill>
          </w14:textFill>
        </w:rPr>
        <w:t>.1总体目标</w:t>
      </w:r>
    </w:p>
    <w:p>
      <w:pPr>
        <w:keepNext w:val="0"/>
        <w:keepLines w:val="0"/>
        <w:pageBreakBefore w:val="0"/>
        <w:kinsoku/>
        <w:wordWrap/>
        <w:overflowPunct/>
        <w:topLinePunct w:val="0"/>
        <w:autoSpaceDE/>
        <w:autoSpaceDN/>
        <w:bidi w:val="0"/>
        <w:snapToGrid/>
        <w:spacing w:line="360" w:lineRule="auto"/>
        <w:ind w:left="0" w:firstLine="480" w:firstLineChars="200"/>
        <w:jc w:val="both"/>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秉承“仁爱精勤”的校训精神，以</w:t>
      </w:r>
      <w:r>
        <w:rPr>
          <w:rFonts w:ascii="Times New Roman" w:hAnsi="Times New Roman" w:cs="宋体"/>
          <w:color w:val="000000" w:themeColor="text1"/>
          <w:sz w:val="24"/>
          <w14:textFill>
            <w14:solidFill>
              <w14:schemeClr w14:val="tx1"/>
            </w14:solidFill>
          </w14:textFill>
        </w:rPr>
        <w:t>立德树人</w:t>
      </w:r>
      <w:r>
        <w:rPr>
          <w:rFonts w:hint="eastAsia" w:ascii="Times New Roman" w:hAnsi="Times New Roman" w:cs="宋体"/>
          <w:color w:val="000000" w:themeColor="text1"/>
          <w:sz w:val="24"/>
          <w14:textFill>
            <w14:solidFill>
              <w14:schemeClr w14:val="tx1"/>
            </w14:solidFill>
          </w14:textFill>
        </w:rPr>
        <w:t>为</w:t>
      </w:r>
      <w:r>
        <w:rPr>
          <w:rFonts w:ascii="Times New Roman" w:hAnsi="Times New Roman" w:cs="宋体"/>
          <w:color w:val="000000" w:themeColor="text1"/>
          <w:sz w:val="24"/>
          <w14:textFill>
            <w14:solidFill>
              <w14:schemeClr w14:val="tx1"/>
            </w14:solidFill>
          </w14:textFill>
        </w:rPr>
        <w:t>己任，</w:t>
      </w:r>
      <w:r>
        <w:rPr>
          <w:rFonts w:hint="eastAsia" w:ascii="Times New Roman" w:hAnsi="Times New Roman" w:cs="宋体"/>
          <w:color w:val="000000" w:themeColor="text1"/>
          <w:sz w:val="24"/>
          <w14:textFill>
            <w14:solidFill>
              <w14:schemeClr w14:val="tx1"/>
            </w14:solidFill>
          </w14:textFill>
        </w:rPr>
        <w:t>强化创新驱动，建设一支政治素质过硬、业务能力强、育人水平高的高素质教师队伍；面向国家教育和科技重大需求，立足学科前沿，培养德智体美劳全面发展，能胜任教育、科研和企事业等单位需要的高级数学专门人才；坚持需求牵引，努力促进基础研究、应用研究与产业化对接融通，强化</w:t>
      </w:r>
      <w:r>
        <w:rPr>
          <w:rFonts w:ascii="Times New Roman" w:hAnsi="Times New Roman" w:cs="宋体"/>
          <w:color w:val="000000" w:themeColor="text1"/>
          <w:sz w:val="24"/>
          <w14:textFill>
            <w14:solidFill>
              <w14:schemeClr w14:val="tx1"/>
            </w14:solidFill>
          </w14:textFill>
        </w:rPr>
        <w:t>产学研</w:t>
      </w:r>
      <w:r>
        <w:rPr>
          <w:rFonts w:hint="eastAsia" w:ascii="Times New Roman" w:hAnsi="Times New Roman" w:cs="宋体"/>
          <w:color w:val="000000" w:themeColor="text1"/>
          <w:sz w:val="24"/>
          <w14:textFill>
            <w14:solidFill>
              <w14:schemeClr w14:val="tx1"/>
            </w14:solidFill>
          </w14:textFill>
        </w:rPr>
        <w:t>深度</w:t>
      </w:r>
      <w:r>
        <w:rPr>
          <w:rFonts w:ascii="Times New Roman" w:hAnsi="Times New Roman" w:cs="宋体"/>
          <w:color w:val="000000" w:themeColor="text1"/>
          <w:sz w:val="24"/>
          <w14:textFill>
            <w14:solidFill>
              <w14:schemeClr w14:val="tx1"/>
            </w14:solidFill>
          </w14:textFill>
        </w:rPr>
        <w:t>融合，</w:t>
      </w:r>
      <w:r>
        <w:rPr>
          <w:rFonts w:hint="eastAsia" w:ascii="Times New Roman" w:hAnsi="Times New Roman" w:cs="宋体"/>
          <w:color w:val="000000" w:themeColor="text1"/>
          <w:sz w:val="24"/>
          <w14:textFill>
            <w14:solidFill>
              <w14:schemeClr w14:val="tx1"/>
            </w14:solidFill>
          </w14:textFill>
        </w:rPr>
        <w:t>为国家和湖南省经济社会发展提供人力支持和智力支撑。</w:t>
      </w:r>
      <w:r>
        <w:rPr>
          <w:rFonts w:ascii="Times New Roman" w:hAnsi="Times New Roman" w:cs="宋体"/>
          <w:color w:val="000000" w:themeColor="text1"/>
          <w:sz w:val="24"/>
          <w14:textFill>
            <w14:solidFill>
              <w14:schemeClr w14:val="tx1"/>
            </w14:solidFill>
          </w14:textFill>
        </w:rPr>
        <w:t xml:space="preserve"> </w:t>
      </w:r>
    </w:p>
    <w:p>
      <w:pPr>
        <w:keepNext w:val="0"/>
        <w:keepLines w:val="0"/>
        <w:pageBreakBefore w:val="0"/>
        <w:kinsoku/>
        <w:wordWrap/>
        <w:overflowPunct/>
        <w:topLinePunct w:val="0"/>
        <w:autoSpaceDE/>
        <w:autoSpaceDN/>
        <w:bidi w:val="0"/>
        <w:snapToGrid/>
        <w:spacing w:line="360" w:lineRule="auto"/>
        <w:ind w:left="0" w:firstLine="562" w:firstLineChars="200"/>
        <w:jc w:val="both"/>
        <w:rPr>
          <w:rFonts w:ascii="Times New Roman" w:hAnsi="Times New Roman" w:cs="宋体"/>
          <w:b/>
          <w:color w:val="000000" w:themeColor="text1"/>
          <w:sz w:val="28"/>
          <w:szCs w:val="28"/>
          <w14:textFill>
            <w14:solidFill>
              <w14:schemeClr w14:val="tx1"/>
            </w14:solidFill>
          </w14:textFill>
        </w:rPr>
      </w:pPr>
      <w:r>
        <w:rPr>
          <w:rFonts w:hint="eastAsia" w:ascii="Times New Roman" w:hAnsi="Times New Roman" w:cs="宋体"/>
          <w:b/>
          <w:color w:val="000000" w:themeColor="text1"/>
          <w:sz w:val="28"/>
          <w:szCs w:val="28"/>
          <w14:textFill>
            <w14:solidFill>
              <w14:schemeClr w14:val="tx1"/>
            </w14:solidFill>
          </w14:textFill>
        </w:rPr>
        <w:t>2</w:t>
      </w:r>
      <w:r>
        <w:rPr>
          <w:rFonts w:ascii="Times New Roman" w:hAnsi="Times New Roman" w:cs="宋体"/>
          <w:b/>
          <w:color w:val="000000" w:themeColor="text1"/>
          <w:sz w:val="28"/>
          <w:szCs w:val="28"/>
          <w14:textFill>
            <w14:solidFill>
              <w14:schemeClr w14:val="tx1"/>
            </w14:solidFill>
          </w14:textFill>
        </w:rPr>
        <w:t>.2</w:t>
      </w:r>
      <w:r>
        <w:rPr>
          <w:rFonts w:hint="eastAsia" w:ascii="Times New Roman" w:hAnsi="Times New Roman" w:cs="宋体"/>
          <w:b/>
          <w:color w:val="000000" w:themeColor="text1"/>
          <w:sz w:val="28"/>
          <w:szCs w:val="28"/>
          <w14:textFill>
            <w14:solidFill>
              <w14:schemeClr w14:val="tx1"/>
            </w14:solidFill>
          </w14:textFill>
        </w:rPr>
        <w:t>具体</w:t>
      </w:r>
      <w:r>
        <w:rPr>
          <w:rFonts w:ascii="Times New Roman" w:hAnsi="Times New Roman" w:cs="宋体"/>
          <w:b/>
          <w:color w:val="000000" w:themeColor="text1"/>
          <w:sz w:val="28"/>
          <w:szCs w:val="28"/>
          <w14:textFill>
            <w14:solidFill>
              <w14:schemeClr w14:val="tx1"/>
            </w14:solidFill>
          </w14:textFill>
        </w:rPr>
        <w:t>目标</w:t>
      </w:r>
    </w:p>
    <w:p>
      <w:pPr>
        <w:keepNext w:val="0"/>
        <w:keepLines w:val="0"/>
        <w:pageBreakBefore w:val="0"/>
        <w:kinsoku/>
        <w:wordWrap/>
        <w:overflowPunct/>
        <w:topLinePunct w:val="0"/>
        <w:autoSpaceDE/>
        <w:autoSpaceDN/>
        <w:bidi w:val="0"/>
        <w:snapToGrid/>
        <w:spacing w:line="360" w:lineRule="auto"/>
        <w:ind w:left="0" w:firstLine="482" w:firstLineChars="200"/>
        <w:jc w:val="both"/>
        <w:rPr>
          <w:rFonts w:ascii="Times New Roman" w:hAnsi="Times New Roman" w:cs="宋体"/>
          <w:b/>
          <w:color w:val="000000" w:themeColor="text1"/>
          <w:sz w:val="24"/>
          <w14:textFill>
            <w14:solidFill>
              <w14:schemeClr w14:val="tx1"/>
            </w14:solidFill>
          </w14:textFill>
        </w:rPr>
      </w:pPr>
      <w:r>
        <w:rPr>
          <w:rFonts w:ascii="Times New Roman" w:hAnsi="Times New Roman" w:cs="宋体"/>
          <w:b/>
          <w:color w:val="000000" w:themeColor="text1"/>
          <w:sz w:val="24"/>
          <w14:textFill>
            <w14:solidFill>
              <w14:schemeClr w14:val="tx1"/>
            </w14:solidFill>
          </w14:textFill>
        </w:rPr>
        <w:t>2.2.1</w:t>
      </w:r>
      <w:r>
        <w:rPr>
          <w:rFonts w:hint="eastAsia" w:ascii="Times New Roman" w:hAnsi="Times New Roman" w:cs="宋体"/>
          <w:b/>
          <w:color w:val="000000" w:themeColor="text1"/>
          <w:sz w:val="24"/>
          <w14:textFill>
            <w14:solidFill>
              <w14:schemeClr w14:val="tx1"/>
            </w14:solidFill>
          </w14:textFill>
        </w:rPr>
        <w:t>师资队伍建设</w:t>
      </w:r>
    </w:p>
    <w:p>
      <w:pPr>
        <w:keepNext w:val="0"/>
        <w:keepLines w:val="0"/>
        <w:pageBreakBefore w:val="0"/>
        <w:kinsoku/>
        <w:wordWrap/>
        <w:overflowPunct/>
        <w:topLinePunct w:val="0"/>
        <w:autoSpaceDE/>
        <w:autoSpaceDN/>
        <w:bidi w:val="0"/>
        <w:snapToGrid/>
        <w:spacing w:line="360" w:lineRule="auto"/>
        <w:ind w:left="0" w:firstLine="480" w:firstLineChars="200"/>
        <w:jc w:val="both"/>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引进海外博士等优秀专任教师3-</w:t>
      </w:r>
      <w:r>
        <w:rPr>
          <w:rFonts w:ascii="Times New Roman" w:hAnsi="Times New Roman" w:cs="宋体"/>
          <w:color w:val="000000" w:themeColor="text1"/>
          <w:sz w:val="24"/>
          <w14:textFill>
            <w14:solidFill>
              <w14:schemeClr w14:val="tx1"/>
            </w14:solidFill>
          </w14:textFill>
        </w:rPr>
        <w:t>5人</w:t>
      </w:r>
      <w:r>
        <w:rPr>
          <w:rFonts w:hint="eastAsia" w:ascii="Times New Roman" w:hAnsi="Times New Roman" w:cs="宋体"/>
          <w:color w:val="000000" w:themeColor="text1"/>
          <w:sz w:val="24"/>
          <w14:textFill>
            <w14:solidFill>
              <w14:schemeClr w14:val="tx1"/>
            </w14:solidFill>
          </w14:textFill>
        </w:rPr>
        <w:t>；力争引进或培养国家级高层次人才（国家千人计划学者、长江学者（含特聘或者讲座）教授、万人计划、国家杰出青年基金获得者、青年千人等；引进或培养省级高层次人才（省百人计划（含青年百人）、芙蓉学者、省杰青、湖湘英才等；力争引进或建成省部级以上科技创新团队1个。</w:t>
      </w:r>
    </w:p>
    <w:p>
      <w:pPr>
        <w:keepNext w:val="0"/>
        <w:keepLines w:val="0"/>
        <w:pageBreakBefore w:val="0"/>
        <w:kinsoku/>
        <w:wordWrap/>
        <w:overflowPunct/>
        <w:topLinePunct w:val="0"/>
        <w:autoSpaceDE/>
        <w:autoSpaceDN/>
        <w:bidi w:val="0"/>
        <w:snapToGrid/>
        <w:spacing w:line="360" w:lineRule="auto"/>
        <w:ind w:left="0" w:firstLine="482" w:firstLineChars="200"/>
        <w:jc w:val="both"/>
        <w:rPr>
          <w:rFonts w:ascii="Times New Roman" w:hAnsi="Times New Roman" w:cs="宋体"/>
          <w:b/>
          <w:color w:val="000000" w:themeColor="text1"/>
          <w:sz w:val="24"/>
          <w14:textFill>
            <w14:solidFill>
              <w14:schemeClr w14:val="tx1"/>
            </w14:solidFill>
          </w14:textFill>
        </w:rPr>
      </w:pPr>
      <w:r>
        <w:rPr>
          <w:rFonts w:ascii="Times New Roman" w:hAnsi="Times New Roman" w:cs="宋体"/>
          <w:b/>
          <w:color w:val="000000" w:themeColor="text1"/>
          <w:sz w:val="24"/>
          <w14:textFill>
            <w14:solidFill>
              <w14:schemeClr w14:val="tx1"/>
            </w14:solidFill>
          </w14:textFill>
        </w:rPr>
        <w:t>2.2.2人才培养</w:t>
      </w:r>
    </w:p>
    <w:p>
      <w:pPr>
        <w:keepNext w:val="0"/>
        <w:keepLines w:val="0"/>
        <w:pageBreakBefore w:val="0"/>
        <w:kinsoku/>
        <w:wordWrap/>
        <w:overflowPunct/>
        <w:topLinePunct w:val="0"/>
        <w:autoSpaceDE/>
        <w:autoSpaceDN/>
        <w:bidi w:val="0"/>
        <w:snapToGrid/>
        <w:spacing w:line="360" w:lineRule="auto"/>
        <w:ind w:left="0" w:firstLine="480" w:firstLineChars="200"/>
        <w:jc w:val="both"/>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稳定现有办学规模，继续加强数学学位点建设，争取获批数学教育博士点；获省级及以上研究生教学成果奖1项；获批案例库等湖南省研究生教学平台项目1项，</w:t>
      </w:r>
      <w:r>
        <w:rPr>
          <w:rFonts w:ascii="Times New Roman" w:hAnsi="Times New Roman" w:cs="宋体"/>
          <w:color w:val="000000" w:themeColor="text1"/>
          <w:sz w:val="24"/>
          <w14:textFill>
            <w14:solidFill>
              <w14:schemeClr w14:val="tx1"/>
            </w14:solidFill>
          </w14:textFill>
        </w:rPr>
        <w:t>获研究生教改</w:t>
      </w:r>
      <w:r>
        <w:rPr>
          <w:rFonts w:hint="eastAsia" w:ascii="Times New Roman" w:hAnsi="Times New Roman" w:cs="宋体"/>
          <w:color w:val="000000" w:themeColor="text1"/>
          <w:sz w:val="24"/>
          <w14:textFill>
            <w14:solidFill>
              <w14:schemeClr w14:val="tx1"/>
            </w14:solidFill>
          </w14:textFill>
        </w:rPr>
        <w:t>研究</w:t>
      </w:r>
      <w:r>
        <w:rPr>
          <w:rFonts w:ascii="Times New Roman" w:hAnsi="Times New Roman" w:cs="宋体"/>
          <w:color w:val="000000" w:themeColor="text1"/>
          <w:sz w:val="24"/>
          <w14:textFill>
            <w14:solidFill>
              <w14:schemeClr w14:val="tx1"/>
            </w14:solidFill>
          </w14:textFill>
        </w:rPr>
        <w:t>项目2</w:t>
      </w:r>
      <w:r>
        <w:rPr>
          <w:rFonts w:hint="eastAsia" w:ascii="Times New Roman" w:hAnsi="Times New Roman" w:cs="宋体"/>
          <w:color w:val="000000" w:themeColor="text1"/>
          <w:sz w:val="24"/>
          <w14:textFill>
            <w14:solidFill>
              <w14:schemeClr w14:val="tx1"/>
            </w14:solidFill>
          </w14:textFill>
        </w:rPr>
        <w:t>项</w:t>
      </w:r>
      <w:r>
        <w:rPr>
          <w:rFonts w:ascii="Times New Roman" w:hAnsi="Times New Roman" w:cs="宋体"/>
          <w:color w:val="000000" w:themeColor="text1"/>
          <w:sz w:val="24"/>
          <w14:textFill>
            <w14:solidFill>
              <w14:schemeClr w14:val="tx1"/>
            </w14:solidFill>
          </w14:textFill>
        </w:rPr>
        <w:t>左右</w:t>
      </w:r>
      <w:r>
        <w:rPr>
          <w:rFonts w:hint="eastAsia" w:ascii="Times New Roman" w:hAnsi="Times New Roman" w:cs="宋体"/>
          <w:color w:val="000000" w:themeColor="text1"/>
          <w:sz w:val="24"/>
          <w14:textFill>
            <w14:solidFill>
              <w14:schemeClr w14:val="tx1"/>
            </w14:solidFill>
          </w14:textFill>
        </w:rPr>
        <w:t>；加强学生实践创新能力培养，不断改善实习、实训条件，新增实习实训基地1</w:t>
      </w:r>
      <w:r>
        <w:rPr>
          <w:rFonts w:ascii="Times New Roman" w:hAnsi="Times New Roman" w:cs="宋体"/>
          <w:color w:val="000000" w:themeColor="text1"/>
          <w:sz w:val="24"/>
          <w14:textFill>
            <w14:solidFill>
              <w14:schemeClr w14:val="tx1"/>
            </w14:solidFill>
          </w14:textFill>
        </w:rPr>
        <w:t>-2</w:t>
      </w:r>
      <w:r>
        <w:rPr>
          <w:rFonts w:hint="eastAsia" w:ascii="Times New Roman" w:hAnsi="Times New Roman" w:cs="宋体"/>
          <w:color w:val="000000" w:themeColor="text1"/>
          <w:sz w:val="24"/>
          <w14:textFill>
            <w14:solidFill>
              <w14:schemeClr w14:val="tx1"/>
            </w14:solidFill>
          </w14:textFill>
        </w:rPr>
        <w:t>个；推进和深化研究生学制、培养机制、课程建设和教学改革，激发研究生，特别是博士生和博士后的科研、创新、应用的能力；争取省级</w:t>
      </w:r>
      <w:r>
        <w:rPr>
          <w:rFonts w:ascii="Times New Roman" w:hAnsi="Times New Roman" w:cs="宋体"/>
          <w:color w:val="000000" w:themeColor="text1"/>
          <w:sz w:val="24"/>
          <w14:textFill>
            <w14:solidFill>
              <w14:schemeClr w14:val="tx1"/>
            </w14:solidFill>
          </w14:textFill>
        </w:rPr>
        <w:t>优秀学位论文</w:t>
      </w:r>
      <w:r>
        <w:rPr>
          <w:rFonts w:hint="eastAsia" w:ascii="Times New Roman" w:hAnsi="Times New Roman" w:cs="宋体"/>
          <w:color w:val="000000" w:themeColor="text1"/>
          <w:sz w:val="24"/>
          <w14:textFill>
            <w14:solidFill>
              <w14:schemeClr w14:val="tx1"/>
            </w14:solidFill>
          </w14:textFill>
        </w:rPr>
        <w:t>3篇</w:t>
      </w:r>
      <w:r>
        <w:rPr>
          <w:rFonts w:ascii="Times New Roman" w:hAnsi="Times New Roman" w:cs="宋体"/>
          <w:color w:val="000000" w:themeColor="text1"/>
          <w:sz w:val="24"/>
          <w14:textFill>
            <w14:solidFill>
              <w14:schemeClr w14:val="tx1"/>
            </w14:solidFill>
          </w14:textFill>
        </w:rPr>
        <w:t>左右</w:t>
      </w:r>
      <w:r>
        <w:rPr>
          <w:rFonts w:hint="eastAsia" w:ascii="Times New Roman" w:hAnsi="Times New Roman" w:cs="宋体"/>
          <w:color w:val="000000" w:themeColor="text1"/>
          <w:sz w:val="24"/>
          <w14:textFill>
            <w14:solidFill>
              <w14:schemeClr w14:val="tx1"/>
            </w14:solidFill>
          </w14:textFill>
        </w:rPr>
        <w:t>。</w:t>
      </w:r>
    </w:p>
    <w:p>
      <w:pPr>
        <w:keepNext w:val="0"/>
        <w:keepLines w:val="0"/>
        <w:pageBreakBefore w:val="0"/>
        <w:kinsoku/>
        <w:wordWrap/>
        <w:overflowPunct/>
        <w:topLinePunct w:val="0"/>
        <w:autoSpaceDE/>
        <w:autoSpaceDN/>
        <w:bidi w:val="0"/>
        <w:snapToGrid/>
        <w:spacing w:line="360" w:lineRule="auto"/>
        <w:ind w:left="0" w:firstLine="482" w:firstLineChars="200"/>
        <w:jc w:val="both"/>
        <w:rPr>
          <w:rFonts w:ascii="Times New Roman" w:hAnsi="Times New Roman" w:cs="宋体"/>
          <w:b/>
          <w:color w:val="000000" w:themeColor="text1"/>
          <w:sz w:val="24"/>
          <w14:textFill>
            <w14:solidFill>
              <w14:schemeClr w14:val="tx1"/>
            </w14:solidFill>
          </w14:textFill>
        </w:rPr>
      </w:pPr>
      <w:r>
        <w:rPr>
          <w:rFonts w:ascii="Times New Roman" w:hAnsi="Times New Roman" w:cs="宋体"/>
          <w:b/>
          <w:color w:val="000000" w:themeColor="text1"/>
          <w:sz w:val="24"/>
          <w14:textFill>
            <w14:solidFill>
              <w14:schemeClr w14:val="tx1"/>
            </w14:solidFill>
          </w14:textFill>
        </w:rPr>
        <w:t>2.2.3科学研究</w:t>
      </w:r>
    </w:p>
    <w:p>
      <w:pPr>
        <w:keepNext w:val="0"/>
        <w:keepLines w:val="0"/>
        <w:pageBreakBefore w:val="0"/>
        <w:kinsoku/>
        <w:wordWrap/>
        <w:overflowPunct/>
        <w:topLinePunct w:val="0"/>
        <w:autoSpaceDE/>
        <w:autoSpaceDN/>
        <w:bidi w:val="0"/>
        <w:snapToGrid/>
        <w:spacing w:line="360" w:lineRule="auto"/>
        <w:ind w:left="0" w:firstLine="480" w:firstLineChars="200"/>
        <w:jc w:val="both"/>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力争产出若干一流成果，取得一批高显示度的原创性学术成果，在</w:t>
      </w:r>
      <w:r>
        <w:rPr>
          <w:rFonts w:ascii="Times New Roman" w:hAnsi="Times New Roman" w:cs="宋体"/>
          <w:color w:val="000000" w:themeColor="text1"/>
          <w:sz w:val="24"/>
          <w14:textFill>
            <w14:solidFill>
              <w14:schemeClr w14:val="tx1"/>
            </w14:solidFill>
          </w14:textFill>
        </w:rPr>
        <w:t>行内有影响力</w:t>
      </w:r>
      <w:r>
        <w:rPr>
          <w:rFonts w:hint="eastAsia" w:ascii="Times New Roman" w:hAnsi="Times New Roman" w:cs="宋体"/>
          <w:color w:val="000000" w:themeColor="text1"/>
          <w:sz w:val="24"/>
          <w14:textFill>
            <w14:solidFill>
              <w14:schemeClr w14:val="tx1"/>
            </w14:solidFill>
          </w14:textFill>
        </w:rPr>
        <w:t>的</w:t>
      </w:r>
      <w:r>
        <w:rPr>
          <w:rFonts w:ascii="Times New Roman" w:hAnsi="Times New Roman" w:cs="宋体"/>
          <w:color w:val="000000" w:themeColor="text1"/>
          <w:sz w:val="24"/>
          <w14:textFill>
            <w14:solidFill>
              <w14:schemeClr w14:val="tx1"/>
            </w14:solidFill>
          </w14:textFill>
        </w:rPr>
        <w:t>权威期刊发表高水平的原创性论文</w:t>
      </w:r>
      <w:r>
        <w:rPr>
          <w:rFonts w:hint="eastAsia" w:ascii="Times New Roman" w:hAnsi="Times New Roman" w:cs="宋体"/>
          <w:color w:val="000000" w:themeColor="text1"/>
          <w:sz w:val="24"/>
          <w14:textFill>
            <w14:solidFill>
              <w14:schemeClr w14:val="tx1"/>
            </w14:solidFill>
          </w14:textFill>
        </w:rPr>
        <w:t>，出版学术专著；获国家自然科学基金项目</w:t>
      </w:r>
      <w:r>
        <w:rPr>
          <w:rFonts w:ascii="Times New Roman" w:hAnsi="Times New Roman" w:cs="宋体"/>
          <w:color w:val="000000" w:themeColor="text1"/>
          <w:sz w:val="24"/>
          <w14:textFill>
            <w14:solidFill>
              <w14:schemeClr w14:val="tx1"/>
            </w14:solidFill>
          </w14:textFill>
        </w:rPr>
        <w:t>8</w:t>
      </w:r>
      <w:r>
        <w:rPr>
          <w:rFonts w:hint="eastAsia" w:ascii="Times New Roman" w:hAnsi="Times New Roman" w:cs="宋体"/>
          <w:color w:val="000000" w:themeColor="text1"/>
          <w:sz w:val="24"/>
          <w14:textFill>
            <w14:solidFill>
              <w14:schemeClr w14:val="tx1"/>
            </w14:solidFill>
          </w14:textFill>
        </w:rPr>
        <w:t>项，争取获得国家杰出青年基金项目的突破；争取获省部级以上科技创新平台1个；获省部级以上科研奖励</w:t>
      </w:r>
      <w:r>
        <w:rPr>
          <w:rFonts w:ascii="Times New Roman" w:hAnsi="Times New Roman" w:cs="宋体"/>
          <w:color w:val="000000" w:themeColor="text1"/>
          <w:sz w:val="24"/>
          <w14:textFill>
            <w14:solidFill>
              <w14:schemeClr w14:val="tx1"/>
            </w14:solidFill>
          </w14:textFill>
        </w:rPr>
        <w:t>1</w:t>
      </w:r>
      <w:r>
        <w:rPr>
          <w:rFonts w:hint="eastAsia" w:ascii="Times New Roman" w:hAnsi="Times New Roman" w:cs="宋体"/>
          <w:color w:val="000000" w:themeColor="text1"/>
          <w:sz w:val="24"/>
          <w14:textFill>
            <w14:solidFill>
              <w14:schemeClr w14:val="tx1"/>
            </w14:solidFill>
          </w14:textFill>
        </w:rPr>
        <w:t>项；争取</w:t>
      </w:r>
      <w:r>
        <w:rPr>
          <w:rFonts w:ascii="Times New Roman" w:hAnsi="Times New Roman" w:cs="宋体"/>
          <w:color w:val="000000" w:themeColor="text1"/>
          <w:sz w:val="24"/>
          <w14:textFill>
            <w14:solidFill>
              <w14:schemeClr w14:val="tx1"/>
            </w14:solidFill>
          </w14:textFill>
        </w:rPr>
        <w:t>获得</w:t>
      </w:r>
      <w:r>
        <w:rPr>
          <w:rFonts w:hint="eastAsia" w:ascii="Times New Roman" w:hAnsi="Times New Roman" w:cs="宋体"/>
          <w:color w:val="000000" w:themeColor="text1"/>
          <w:sz w:val="24"/>
          <w14:textFill>
            <w14:solidFill>
              <w14:schemeClr w14:val="tx1"/>
            </w14:solidFill>
          </w14:textFill>
        </w:rPr>
        <w:t>专利</w:t>
      </w:r>
      <w:r>
        <w:rPr>
          <w:rFonts w:ascii="Times New Roman" w:hAnsi="Times New Roman" w:cs="宋体"/>
          <w:color w:val="000000" w:themeColor="text1"/>
          <w:sz w:val="24"/>
          <w14:textFill>
            <w14:solidFill>
              <w14:schemeClr w14:val="tx1"/>
            </w14:solidFill>
          </w14:textFill>
        </w:rPr>
        <w:t>或软件著作权1项</w:t>
      </w:r>
      <w:r>
        <w:rPr>
          <w:rFonts w:hint="eastAsia" w:ascii="Times New Roman" w:hAnsi="Times New Roman" w:cs="宋体"/>
          <w:color w:val="000000" w:themeColor="text1"/>
          <w:sz w:val="24"/>
          <w14:textFill>
            <w14:solidFill>
              <w14:schemeClr w14:val="tx1"/>
            </w14:solidFill>
          </w14:textFill>
        </w:rPr>
        <w:t>，</w:t>
      </w:r>
      <w:r>
        <w:rPr>
          <w:rFonts w:ascii="Times New Roman" w:hAnsi="Times New Roman" w:cs="宋体"/>
          <w:color w:val="000000" w:themeColor="text1"/>
          <w:sz w:val="24"/>
          <w14:textFill>
            <w14:solidFill>
              <w14:schemeClr w14:val="tx1"/>
            </w14:solidFill>
          </w14:textFill>
        </w:rPr>
        <w:t>横向项目1项</w:t>
      </w:r>
      <w:r>
        <w:rPr>
          <w:rFonts w:hint="eastAsia" w:ascii="Times New Roman" w:hAnsi="Times New Roman" w:cs="宋体"/>
          <w:color w:val="000000" w:themeColor="text1"/>
          <w:sz w:val="24"/>
          <w14:textFill>
            <w14:solidFill>
              <w14:schemeClr w14:val="tx1"/>
            </w14:solidFill>
          </w14:textFill>
        </w:rPr>
        <w:t>，</w:t>
      </w:r>
      <w:r>
        <w:rPr>
          <w:rFonts w:ascii="Times New Roman" w:hAnsi="Times New Roman" w:cs="宋体"/>
          <w:color w:val="000000" w:themeColor="text1"/>
          <w:sz w:val="24"/>
          <w14:textFill>
            <w14:solidFill>
              <w14:schemeClr w14:val="tx1"/>
            </w14:solidFill>
          </w14:textFill>
        </w:rPr>
        <w:t>校企合作项目</w:t>
      </w:r>
      <w:r>
        <w:rPr>
          <w:rFonts w:hint="eastAsia" w:ascii="Times New Roman" w:hAnsi="Times New Roman" w:cs="宋体"/>
          <w:color w:val="000000" w:themeColor="text1"/>
          <w:sz w:val="24"/>
          <w14:textFill>
            <w14:solidFill>
              <w14:schemeClr w14:val="tx1"/>
            </w14:solidFill>
          </w14:textFill>
        </w:rPr>
        <w:t>1项。</w:t>
      </w:r>
    </w:p>
    <w:p>
      <w:pPr>
        <w:keepNext w:val="0"/>
        <w:keepLines w:val="0"/>
        <w:pageBreakBefore w:val="0"/>
        <w:kinsoku/>
        <w:wordWrap/>
        <w:overflowPunct/>
        <w:topLinePunct w:val="0"/>
        <w:autoSpaceDE/>
        <w:autoSpaceDN/>
        <w:bidi w:val="0"/>
        <w:snapToGrid/>
        <w:spacing w:line="360" w:lineRule="auto"/>
        <w:ind w:left="0" w:firstLine="482" w:firstLineChars="200"/>
        <w:jc w:val="both"/>
        <w:rPr>
          <w:rFonts w:ascii="Times New Roman" w:hAnsi="Times New Roman" w:cs="宋体"/>
          <w:b/>
          <w:color w:val="000000" w:themeColor="text1"/>
          <w:sz w:val="24"/>
          <w14:textFill>
            <w14:solidFill>
              <w14:schemeClr w14:val="tx1"/>
            </w14:solidFill>
          </w14:textFill>
        </w:rPr>
      </w:pPr>
      <w:r>
        <w:rPr>
          <w:rFonts w:ascii="Times New Roman" w:hAnsi="Times New Roman" w:cs="宋体"/>
          <w:b/>
          <w:color w:val="000000" w:themeColor="text1"/>
          <w:sz w:val="24"/>
          <w14:textFill>
            <w14:solidFill>
              <w14:schemeClr w14:val="tx1"/>
            </w14:solidFill>
          </w14:textFill>
        </w:rPr>
        <w:t>2.2.4国际化程度</w:t>
      </w:r>
    </w:p>
    <w:p>
      <w:pPr>
        <w:keepNext w:val="0"/>
        <w:keepLines w:val="0"/>
        <w:pageBreakBefore w:val="0"/>
        <w:kinsoku/>
        <w:wordWrap/>
        <w:overflowPunct/>
        <w:topLinePunct w:val="0"/>
        <w:autoSpaceDE/>
        <w:autoSpaceDN/>
        <w:bidi w:val="0"/>
        <w:snapToGrid/>
        <w:spacing w:line="360" w:lineRule="auto"/>
        <w:ind w:left="0" w:firstLine="480" w:firstLineChars="200"/>
        <w:jc w:val="both"/>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定期邀请国外有影响力的专家来校作学术交流，派遣</w:t>
      </w:r>
      <w:r>
        <w:rPr>
          <w:rFonts w:ascii="Times New Roman" w:hAnsi="Times New Roman" w:cs="宋体"/>
          <w:color w:val="000000" w:themeColor="text1"/>
          <w:sz w:val="24"/>
          <w14:textFill>
            <w14:solidFill>
              <w14:schemeClr w14:val="tx1"/>
            </w14:solidFill>
          </w14:textFill>
        </w:rPr>
        <w:t>教师</w:t>
      </w:r>
      <w:r>
        <w:rPr>
          <w:rFonts w:hint="eastAsia" w:ascii="Times New Roman" w:hAnsi="Times New Roman" w:cs="宋体"/>
          <w:color w:val="000000" w:themeColor="text1"/>
          <w:sz w:val="24"/>
          <w14:textFill>
            <w14:solidFill>
              <w14:schemeClr w14:val="tx1"/>
            </w14:solidFill>
          </w14:textFill>
        </w:rPr>
        <w:t>出国访问深入开展学术交流与合作；加大</w:t>
      </w:r>
      <w:r>
        <w:rPr>
          <w:rFonts w:ascii="Times New Roman" w:hAnsi="Times New Roman" w:cs="宋体"/>
          <w:color w:val="000000" w:themeColor="text1"/>
          <w:sz w:val="24"/>
          <w14:textFill>
            <w14:solidFill>
              <w14:schemeClr w14:val="tx1"/>
            </w14:solidFill>
          </w14:textFill>
        </w:rPr>
        <w:t>境外研究生</w:t>
      </w:r>
      <w:r>
        <w:rPr>
          <w:rFonts w:hint="eastAsia" w:ascii="Times New Roman" w:hAnsi="Times New Roman" w:cs="宋体"/>
          <w:color w:val="000000" w:themeColor="text1"/>
          <w:sz w:val="24"/>
          <w14:textFill>
            <w14:solidFill>
              <w14:schemeClr w14:val="tx1"/>
            </w14:solidFill>
          </w14:textFill>
        </w:rPr>
        <w:t>的</w:t>
      </w:r>
      <w:r>
        <w:rPr>
          <w:rFonts w:ascii="Times New Roman" w:hAnsi="Times New Roman" w:cs="宋体"/>
          <w:color w:val="000000" w:themeColor="text1"/>
          <w:sz w:val="24"/>
          <w14:textFill>
            <w14:solidFill>
              <w14:schemeClr w14:val="tx1"/>
            </w14:solidFill>
          </w14:textFill>
        </w:rPr>
        <w:t>联合培养</w:t>
      </w:r>
      <w:r>
        <w:rPr>
          <w:rFonts w:hint="eastAsia" w:ascii="Times New Roman" w:hAnsi="Times New Roman" w:cs="宋体"/>
          <w:color w:val="000000" w:themeColor="text1"/>
          <w:sz w:val="24"/>
          <w14:textFill>
            <w14:solidFill>
              <w14:schemeClr w14:val="tx1"/>
            </w14:solidFill>
          </w14:textFill>
        </w:rPr>
        <w:t>与中外</w:t>
      </w:r>
      <w:r>
        <w:rPr>
          <w:rFonts w:ascii="Times New Roman" w:hAnsi="Times New Roman" w:cs="宋体"/>
          <w:color w:val="000000" w:themeColor="text1"/>
          <w:sz w:val="24"/>
          <w14:textFill>
            <w14:solidFill>
              <w14:schemeClr w14:val="tx1"/>
            </w14:solidFill>
          </w14:textFill>
        </w:rPr>
        <w:t>合作办学</w:t>
      </w:r>
      <w:r>
        <w:rPr>
          <w:rFonts w:hint="eastAsia" w:ascii="Times New Roman" w:hAnsi="Times New Roman" w:cs="宋体"/>
          <w:color w:val="000000" w:themeColor="text1"/>
          <w:sz w:val="24"/>
          <w14:textFill>
            <w14:solidFill>
              <w14:schemeClr w14:val="tx1"/>
            </w14:solidFill>
          </w14:textFill>
        </w:rPr>
        <w:t>；争取选派部分优秀研究生参加短期境外交流项目或国际会议等学术交流；鼓励和支持老师举办高水平国际会议，扩大学科影响。</w:t>
      </w:r>
    </w:p>
    <w:p>
      <w:pPr>
        <w:keepNext w:val="0"/>
        <w:keepLines w:val="0"/>
        <w:pageBreakBefore w:val="0"/>
        <w:kinsoku/>
        <w:wordWrap/>
        <w:overflowPunct/>
        <w:topLinePunct w:val="0"/>
        <w:autoSpaceDE/>
        <w:autoSpaceDN/>
        <w:bidi w:val="0"/>
        <w:snapToGrid/>
        <w:spacing w:line="360" w:lineRule="auto"/>
        <w:ind w:left="0" w:firstLine="602" w:firstLineChars="200"/>
        <w:jc w:val="both"/>
        <w:rPr>
          <w:rFonts w:ascii="Times New Roman" w:hAnsi="Times New Roman" w:cs="宋体"/>
          <w:b/>
          <w:color w:val="000000" w:themeColor="text1"/>
          <w:sz w:val="30"/>
          <w:szCs w:val="30"/>
          <w14:textFill>
            <w14:solidFill>
              <w14:schemeClr w14:val="tx1"/>
            </w14:solidFill>
          </w14:textFill>
        </w:rPr>
      </w:pPr>
      <w:r>
        <w:rPr>
          <w:rFonts w:hint="eastAsia" w:ascii="Times New Roman" w:hAnsi="Times New Roman" w:cs="宋体"/>
          <w:b/>
          <w:color w:val="000000" w:themeColor="text1"/>
          <w:sz w:val="30"/>
          <w:szCs w:val="30"/>
          <w14:textFill>
            <w14:solidFill>
              <w14:schemeClr w14:val="tx1"/>
            </w14:solidFill>
          </w14:textFill>
        </w:rPr>
        <w:t>3</w:t>
      </w:r>
      <w:r>
        <w:rPr>
          <w:rFonts w:ascii="Times New Roman" w:hAnsi="Times New Roman" w:cs="宋体"/>
          <w:b/>
          <w:color w:val="000000" w:themeColor="text1"/>
          <w:sz w:val="30"/>
          <w:szCs w:val="30"/>
          <w14:textFill>
            <w14:solidFill>
              <w14:schemeClr w14:val="tx1"/>
            </w14:solidFill>
          </w14:textFill>
        </w:rPr>
        <w:t>.学位标准</w:t>
      </w:r>
    </w:p>
    <w:p>
      <w:pPr>
        <w:keepNext w:val="0"/>
        <w:keepLines w:val="0"/>
        <w:pageBreakBefore w:val="0"/>
        <w:kinsoku/>
        <w:wordWrap/>
        <w:overflowPunct/>
        <w:topLinePunct w:val="0"/>
        <w:autoSpaceDE/>
        <w:autoSpaceDN/>
        <w:bidi w:val="0"/>
        <w:snapToGrid/>
        <w:spacing w:line="360" w:lineRule="auto"/>
        <w:ind w:left="0" w:firstLine="480" w:firstLineChars="200"/>
        <w:jc w:val="both"/>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为保证数学学科学位授权点研究生培养质量，根据国务院学位委员会制定的《一级学科博士、硕士学位基本要求》，学科学位授权点制定了符合数学一级学科学位授权点研究生培养目标的学位授予标准。</w:t>
      </w:r>
    </w:p>
    <w:p>
      <w:pPr>
        <w:keepNext w:val="0"/>
        <w:keepLines w:val="0"/>
        <w:pageBreakBefore w:val="0"/>
        <w:kinsoku/>
        <w:wordWrap/>
        <w:overflowPunct/>
        <w:topLinePunct w:val="0"/>
        <w:autoSpaceDE/>
        <w:autoSpaceDN/>
        <w:bidi w:val="0"/>
        <w:snapToGrid/>
        <w:spacing w:line="520" w:lineRule="exact"/>
        <w:ind w:left="0" w:firstLine="480" w:firstLineChars="200"/>
        <w:jc w:val="both"/>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博士学位获得者应在有关研究方向的一些较重要的课题中做出有创新性的成果，或与有关专业人员合作解决某些重要实际问题；至少掌握一门外国语，能熟练阅读本专业的外文资料，具有一定的写作能力和进行国际学术交流的能力；能承担数学及其相关学科的科学研究、教学或其他实际工作。具体</w:t>
      </w:r>
      <w:r>
        <w:rPr>
          <w:rFonts w:ascii="Times New Roman" w:hAnsi="Times New Roman" w:cs="宋体"/>
          <w:color w:val="000000" w:themeColor="text1"/>
          <w:sz w:val="24"/>
          <w14:textFill>
            <w14:solidFill>
              <w14:schemeClr w14:val="tx1"/>
            </w14:solidFill>
          </w14:textFill>
        </w:rPr>
        <w:t>见湖南师范大学数学博士学位培养标准。</w:t>
      </w:r>
    </w:p>
    <w:p>
      <w:pPr>
        <w:keepNext w:val="0"/>
        <w:keepLines w:val="0"/>
        <w:pageBreakBefore w:val="0"/>
        <w:kinsoku/>
        <w:wordWrap/>
        <w:overflowPunct/>
        <w:topLinePunct w:val="0"/>
        <w:autoSpaceDE/>
        <w:autoSpaceDN/>
        <w:bidi w:val="0"/>
        <w:snapToGrid/>
        <w:spacing w:line="360" w:lineRule="auto"/>
        <w:ind w:left="0" w:firstLine="480" w:firstLineChars="200"/>
        <w:jc w:val="both"/>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硕士学位获得者应在某个专业方向上做出有理论或实践意义的成果；较为熟练地掌握一门外国语，能阅读本专业的外文资料；能从事与数学相关的科研、教学或其他实际工作。</w:t>
      </w:r>
      <w:r>
        <w:rPr>
          <w:rFonts w:ascii="Times New Roman" w:hAnsi="Times New Roman" w:cs="宋体"/>
          <w:color w:val="000000" w:themeColor="text1"/>
          <w:sz w:val="24"/>
          <w14:textFill>
            <w14:solidFill>
              <w14:schemeClr w14:val="tx1"/>
            </w14:solidFill>
          </w14:textFill>
        </w:rPr>
        <w:t>具体见湖南师范大学</w:t>
      </w:r>
      <w:r>
        <w:rPr>
          <w:rFonts w:hint="eastAsia" w:ascii="Times New Roman" w:hAnsi="Times New Roman" w:cs="宋体"/>
          <w:color w:val="000000" w:themeColor="text1"/>
          <w:sz w:val="24"/>
          <w14:textFill>
            <w14:solidFill>
              <w14:schemeClr w14:val="tx1"/>
            </w14:solidFill>
          </w14:textFill>
        </w:rPr>
        <w:t>数</w:t>
      </w:r>
      <w:r>
        <w:rPr>
          <w:rFonts w:ascii="Times New Roman" w:hAnsi="Times New Roman" w:cs="宋体"/>
          <w:color w:val="000000" w:themeColor="text1"/>
          <w:sz w:val="24"/>
          <w14:textFill>
            <w14:solidFill>
              <w14:schemeClr w14:val="tx1"/>
            </w14:solidFill>
          </w14:textFill>
        </w:rPr>
        <w:t>学硕士学位培养标准。</w:t>
      </w:r>
    </w:p>
    <w:p>
      <w:pPr>
        <w:keepNext w:val="0"/>
        <w:keepLines w:val="0"/>
        <w:pageBreakBefore w:val="0"/>
        <w:kinsoku/>
        <w:wordWrap/>
        <w:overflowPunct/>
        <w:topLinePunct w:val="0"/>
        <w:autoSpaceDE/>
        <w:autoSpaceDN/>
        <w:bidi w:val="0"/>
        <w:snapToGrid/>
        <w:spacing w:line="360" w:lineRule="auto"/>
        <w:ind w:left="0" w:firstLine="480" w:firstLineChars="200"/>
        <w:jc w:val="both"/>
        <w:rPr>
          <w:rFonts w:ascii="Times New Roman" w:hAnsi="Times New Roman" w:cs="宋体"/>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snapToGrid/>
        <w:spacing w:line="360" w:lineRule="auto"/>
        <w:ind w:left="0" w:firstLine="640" w:firstLineChars="200"/>
        <w:jc w:val="both"/>
        <w:rPr>
          <w:rFonts w:ascii="Times New Roman" w:hAnsi="Times New Roman" w:eastAsia="黑体"/>
          <w:sz w:val="32"/>
          <w:szCs w:val="32"/>
        </w:rPr>
      </w:pPr>
      <w:r>
        <w:rPr>
          <w:rFonts w:ascii="Times New Roman" w:hAnsi="Times New Roman" w:eastAsia="黑体"/>
          <w:sz w:val="32"/>
          <w:szCs w:val="32"/>
        </w:rPr>
        <w:t>二</w:t>
      </w:r>
      <w:r>
        <w:rPr>
          <w:rFonts w:hint="eastAsia" w:ascii="Times New Roman" w:hAnsi="Times New Roman" w:eastAsia="黑体"/>
          <w:sz w:val="32"/>
          <w:szCs w:val="32"/>
        </w:rPr>
        <w:t>、</w:t>
      </w:r>
      <w:r>
        <w:rPr>
          <w:rFonts w:ascii="Times New Roman" w:hAnsi="Times New Roman" w:eastAsia="黑体"/>
          <w:sz w:val="32"/>
          <w:szCs w:val="32"/>
        </w:rPr>
        <w:t>学位授权点基本条件建设情况</w:t>
      </w:r>
    </w:p>
    <w:p>
      <w:pPr>
        <w:keepNext w:val="0"/>
        <w:keepLines w:val="0"/>
        <w:pageBreakBefore w:val="0"/>
        <w:kinsoku/>
        <w:wordWrap/>
        <w:overflowPunct/>
        <w:topLinePunct w:val="0"/>
        <w:autoSpaceDE/>
        <w:autoSpaceDN/>
        <w:bidi w:val="0"/>
        <w:snapToGrid/>
        <w:spacing w:line="360" w:lineRule="auto"/>
        <w:ind w:left="0" w:firstLine="602" w:firstLineChars="200"/>
        <w:jc w:val="both"/>
        <w:rPr>
          <w:rFonts w:ascii="Times New Roman" w:hAnsi="Times New Roman" w:cs="宋体"/>
          <w:b/>
          <w:color w:val="000000" w:themeColor="text1"/>
          <w:sz w:val="30"/>
          <w:szCs w:val="30"/>
          <w14:textFill>
            <w14:solidFill>
              <w14:schemeClr w14:val="tx1"/>
            </w14:solidFill>
          </w14:textFill>
        </w:rPr>
      </w:pPr>
      <w:r>
        <w:rPr>
          <w:rFonts w:ascii="Times New Roman" w:hAnsi="Times New Roman" w:cs="宋体"/>
          <w:b/>
          <w:color w:val="000000" w:themeColor="text1"/>
          <w:sz w:val="30"/>
          <w:szCs w:val="30"/>
          <w14:textFill>
            <w14:solidFill>
              <w14:schemeClr w14:val="tx1"/>
            </w14:solidFill>
          </w14:textFill>
        </w:rPr>
        <w:t>1</w:t>
      </w:r>
      <w:r>
        <w:rPr>
          <w:rFonts w:hint="eastAsia" w:ascii="Times New Roman" w:hAnsi="Times New Roman" w:cs="宋体"/>
          <w:b/>
          <w:color w:val="000000" w:themeColor="text1"/>
          <w:sz w:val="30"/>
          <w:szCs w:val="30"/>
          <w14:textFill>
            <w14:solidFill>
              <w14:schemeClr w14:val="tx1"/>
            </w14:solidFill>
          </w14:textFill>
        </w:rPr>
        <w:t>．方向设置</w:t>
      </w:r>
    </w:p>
    <w:p>
      <w:pPr>
        <w:keepNext w:val="0"/>
        <w:keepLines w:val="0"/>
        <w:pageBreakBefore w:val="0"/>
        <w:kinsoku/>
        <w:wordWrap/>
        <w:overflowPunct/>
        <w:topLinePunct w:val="0"/>
        <w:autoSpaceDE/>
        <w:autoSpaceDN/>
        <w:bidi w:val="0"/>
        <w:snapToGrid/>
        <w:spacing w:line="360" w:lineRule="auto"/>
        <w:ind w:left="0" w:firstLine="480" w:firstLineChars="200"/>
        <w:jc w:val="both"/>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现数学一级学科学位授权点下设基础数学、计算数学、概率论与数理统计、应用数学、运筹学与控制论、数学教育（仅招硕士研究生）共</w:t>
      </w:r>
      <w:r>
        <w:rPr>
          <w:rFonts w:ascii="Times New Roman" w:hAnsi="Times New Roman" w:cs="宋体"/>
          <w:color w:val="000000" w:themeColor="text1"/>
          <w:sz w:val="24"/>
          <w14:textFill>
            <w14:solidFill>
              <w14:schemeClr w14:val="tx1"/>
            </w14:solidFill>
          </w14:textFill>
        </w:rPr>
        <w:t>6</w:t>
      </w:r>
      <w:r>
        <w:rPr>
          <w:rFonts w:hint="eastAsia" w:ascii="Times New Roman" w:hAnsi="Times New Roman" w:cs="宋体"/>
          <w:color w:val="000000" w:themeColor="text1"/>
          <w:sz w:val="24"/>
          <w14:textFill>
            <w14:solidFill>
              <w14:schemeClr w14:val="tx1"/>
            </w14:solidFill>
          </w14:textFill>
        </w:rPr>
        <w:t>个方向。</w:t>
      </w:r>
    </w:p>
    <w:p>
      <w:pPr>
        <w:pStyle w:val="3"/>
        <w:keepNext w:val="0"/>
        <w:keepLines w:val="0"/>
        <w:pageBreakBefore w:val="0"/>
        <w:kinsoku/>
        <w:wordWrap/>
        <w:overflowPunct/>
        <w:topLinePunct w:val="0"/>
        <w:autoSpaceDE/>
        <w:autoSpaceDN/>
        <w:bidi w:val="0"/>
        <w:snapToGrid/>
        <w:spacing w:after="0" w:line="360" w:lineRule="auto"/>
        <w:ind w:left="0" w:firstLine="482" w:firstLineChars="200"/>
        <w:jc w:val="both"/>
        <w:rPr>
          <w:rFonts w:ascii="Times New Roman" w:hAnsi="Times New Roman" w:cs="宋体"/>
          <w:color w:val="000000" w:themeColor="text1"/>
          <w:kern w:val="2"/>
          <w:sz w:val="24"/>
          <w:szCs w:val="24"/>
          <w14:textFill>
            <w14:solidFill>
              <w14:schemeClr w14:val="tx1"/>
            </w14:solidFill>
          </w14:textFill>
        </w:rPr>
      </w:pPr>
      <w:r>
        <w:rPr>
          <w:rFonts w:hint="eastAsia" w:ascii="Times New Roman" w:hAnsi="Times New Roman" w:cs="宋体"/>
          <w:b/>
          <w:color w:val="000000" w:themeColor="text1"/>
          <w:kern w:val="2"/>
          <w:sz w:val="24"/>
          <w:szCs w:val="24"/>
          <w14:textFill>
            <w14:solidFill>
              <w14:schemeClr w14:val="tx1"/>
            </w14:solidFill>
          </w14:textFill>
        </w:rPr>
        <w:t>1</w:t>
      </w:r>
      <w:r>
        <w:rPr>
          <w:rFonts w:ascii="Times New Roman" w:hAnsi="Times New Roman" w:cs="宋体"/>
          <w:b/>
          <w:color w:val="000000" w:themeColor="text1"/>
          <w:kern w:val="2"/>
          <w:sz w:val="24"/>
          <w:szCs w:val="24"/>
          <w14:textFill>
            <w14:solidFill>
              <w14:schemeClr w14:val="tx1"/>
            </w14:solidFill>
          </w14:textFill>
        </w:rPr>
        <w:t>.1</w:t>
      </w:r>
      <w:r>
        <w:rPr>
          <w:rFonts w:hint="eastAsia" w:ascii="Times New Roman" w:hAnsi="Times New Roman" w:cs="宋体"/>
          <w:b/>
          <w:color w:val="000000" w:themeColor="text1"/>
          <w:kern w:val="2"/>
          <w:sz w:val="24"/>
          <w:szCs w:val="24"/>
          <w14:textFill>
            <w14:solidFill>
              <w14:schemeClr w14:val="tx1"/>
            </w14:solidFill>
          </w14:textFill>
        </w:rPr>
        <w:t>基础数学方向：</w:t>
      </w:r>
      <w:r>
        <w:rPr>
          <w:rFonts w:hint="eastAsia" w:ascii="Times New Roman" w:hAnsi="Times New Roman" w:cs="宋体"/>
          <w:color w:val="000000" w:themeColor="text1"/>
          <w:kern w:val="2"/>
          <w:sz w:val="24"/>
          <w:szCs w:val="24"/>
          <w14:textFill>
            <w14:solidFill>
              <w14:schemeClr w14:val="tx1"/>
            </w14:solidFill>
          </w14:textFill>
        </w:rPr>
        <w:t>本方向包括函数论、代数学、几何与拓扑等领域的基础研究。 研究拟共形映射、平面调和映射以及复函数空间中的相关问题、分形上的复分析、以及调和分析和小波分析中的相关问题；研究代数表示论、同调代数、代数K-理论； 研究黎曼几何、度量几何、收缩(Systolic)几何、分歧问题的开折。 形成了既各自独立又相互交叉的特色和研究方式。</w:t>
      </w:r>
    </w:p>
    <w:p>
      <w:pPr>
        <w:keepNext w:val="0"/>
        <w:keepLines w:val="0"/>
        <w:pageBreakBefore w:val="0"/>
        <w:kinsoku/>
        <w:wordWrap/>
        <w:overflowPunct/>
        <w:topLinePunct w:val="0"/>
        <w:autoSpaceDE/>
        <w:autoSpaceDN/>
        <w:bidi w:val="0"/>
        <w:snapToGrid/>
        <w:spacing w:line="360" w:lineRule="auto"/>
        <w:ind w:left="0" w:firstLine="482" w:firstLineChars="200"/>
        <w:jc w:val="both"/>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b/>
          <w:color w:val="000000" w:themeColor="text1"/>
          <w:sz w:val="24"/>
          <w14:textFill>
            <w14:solidFill>
              <w14:schemeClr w14:val="tx1"/>
            </w14:solidFill>
          </w14:textFill>
        </w:rPr>
        <w:t>1</w:t>
      </w:r>
      <w:r>
        <w:rPr>
          <w:rFonts w:ascii="Times New Roman" w:hAnsi="Times New Roman" w:cs="宋体"/>
          <w:b/>
          <w:color w:val="000000" w:themeColor="text1"/>
          <w:sz w:val="24"/>
          <w14:textFill>
            <w14:solidFill>
              <w14:schemeClr w14:val="tx1"/>
            </w14:solidFill>
          </w14:textFill>
        </w:rPr>
        <w:t>.2</w:t>
      </w:r>
      <w:r>
        <w:rPr>
          <w:rFonts w:hint="eastAsia" w:ascii="Times New Roman" w:hAnsi="Times New Roman" w:cs="宋体"/>
          <w:b/>
          <w:color w:val="000000" w:themeColor="text1"/>
          <w:sz w:val="24"/>
          <w14:textFill>
            <w14:solidFill>
              <w14:schemeClr w14:val="tx1"/>
            </w14:solidFill>
          </w14:textFill>
        </w:rPr>
        <w:t>计算数学方向：</w:t>
      </w:r>
      <w:r>
        <w:rPr>
          <w:rFonts w:hint="eastAsia" w:ascii="Times New Roman" w:hAnsi="Times New Roman" w:cs="宋体"/>
          <w:color w:val="000000" w:themeColor="text1"/>
          <w:sz w:val="24"/>
          <w14:textFill>
            <w14:solidFill>
              <w14:schemeClr w14:val="tx1"/>
            </w14:solidFill>
          </w14:textFill>
        </w:rPr>
        <w:t>本方向包括有限元收敛、小波理论、图形图像处理、网络信息安全等领域。 研究有限元超收敛理论及应用、非线性微分方程的多解计算、奇异摄动间断有限元；研究超离散小波方法、逼近论、图形图象处理及信息安全；研究最优网络与信息安全、网络容错性的组合性质研究，在传感器网络的密钥分发问题。其中有限元超收敛的研究被国际公认为三学派之一，非线性偏微分方程多解计算方法的研究是国内首创，在国际上亦处于领先地位。</w:t>
      </w:r>
    </w:p>
    <w:p>
      <w:pPr>
        <w:keepNext w:val="0"/>
        <w:keepLines w:val="0"/>
        <w:pageBreakBefore w:val="0"/>
        <w:kinsoku/>
        <w:wordWrap/>
        <w:overflowPunct/>
        <w:topLinePunct w:val="0"/>
        <w:autoSpaceDE/>
        <w:autoSpaceDN/>
        <w:bidi w:val="0"/>
        <w:snapToGrid/>
        <w:spacing w:line="360" w:lineRule="auto"/>
        <w:ind w:left="0" w:firstLine="482" w:firstLineChars="200"/>
        <w:jc w:val="both"/>
        <w:rPr>
          <w:rFonts w:ascii="Times New Roman" w:hAnsi="Times New Roman" w:cs="宋体"/>
          <w:color w:val="000000" w:themeColor="text1"/>
          <w:sz w:val="24"/>
          <w14:textFill>
            <w14:solidFill>
              <w14:schemeClr w14:val="tx1"/>
            </w14:solidFill>
          </w14:textFill>
        </w:rPr>
      </w:pPr>
      <w:r>
        <w:rPr>
          <w:rFonts w:ascii="Times New Roman" w:hAnsi="Times New Roman" w:cs="宋体"/>
          <w:b/>
          <w:bCs/>
          <w:color w:val="000000" w:themeColor="text1"/>
          <w:sz w:val="24"/>
          <w14:textFill>
            <w14:solidFill>
              <w14:schemeClr w14:val="tx1"/>
            </w14:solidFill>
          </w14:textFill>
        </w:rPr>
        <w:t>1.3</w:t>
      </w:r>
      <w:r>
        <w:rPr>
          <w:rFonts w:hint="eastAsia" w:ascii="Times New Roman" w:hAnsi="Times New Roman" w:cs="宋体"/>
          <w:b/>
          <w:color w:val="000000" w:themeColor="text1"/>
          <w:sz w:val="24"/>
          <w14:textFill>
            <w14:solidFill>
              <w14:schemeClr w14:val="tx1"/>
            </w14:solidFill>
          </w14:textFill>
        </w:rPr>
        <w:t>概率论与数理统计方向：</w:t>
      </w:r>
      <w:r>
        <w:rPr>
          <w:rFonts w:hint="eastAsia" w:ascii="Times New Roman" w:hAnsi="Times New Roman" w:cs="宋体"/>
          <w:color w:val="000000" w:themeColor="text1"/>
          <w:sz w:val="24"/>
          <w14:textFill>
            <w14:solidFill>
              <w14:schemeClr w14:val="tx1"/>
            </w14:solidFill>
          </w14:textFill>
        </w:rPr>
        <w:t>本方向包括随机过程、多元统计推断及数据收集及处理。研究随机过程，特别是马尔可夫过程的理论问题，包括随机环境中马氏过程的理论问题、马尔可夫过程构造理论、极限定理等诸多的理论问题；研究多元统计推断与生物信息，包括有效地运用数据收集与数据处理、多种模型与技术分析、社会调查与统计分析等。</w:t>
      </w:r>
    </w:p>
    <w:p>
      <w:pPr>
        <w:keepNext w:val="0"/>
        <w:keepLines w:val="0"/>
        <w:pageBreakBefore w:val="0"/>
        <w:kinsoku/>
        <w:wordWrap/>
        <w:overflowPunct/>
        <w:topLinePunct w:val="0"/>
        <w:autoSpaceDE/>
        <w:autoSpaceDN/>
        <w:bidi w:val="0"/>
        <w:snapToGrid/>
        <w:spacing w:line="360" w:lineRule="auto"/>
        <w:ind w:left="0" w:firstLine="482" w:firstLineChars="200"/>
        <w:jc w:val="both"/>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b/>
          <w:color w:val="000000" w:themeColor="text1"/>
          <w:sz w:val="24"/>
          <w14:textFill>
            <w14:solidFill>
              <w14:schemeClr w14:val="tx1"/>
            </w14:solidFill>
          </w14:textFill>
        </w:rPr>
        <w:t>1</w:t>
      </w:r>
      <w:r>
        <w:rPr>
          <w:rFonts w:ascii="Times New Roman" w:hAnsi="Times New Roman" w:cs="宋体"/>
          <w:b/>
          <w:color w:val="000000" w:themeColor="text1"/>
          <w:sz w:val="24"/>
          <w14:textFill>
            <w14:solidFill>
              <w14:schemeClr w14:val="tx1"/>
            </w14:solidFill>
          </w14:textFill>
        </w:rPr>
        <w:t>.4</w:t>
      </w:r>
      <w:r>
        <w:rPr>
          <w:rFonts w:hint="eastAsia" w:ascii="Times New Roman" w:hAnsi="Times New Roman" w:cs="宋体"/>
          <w:b/>
          <w:color w:val="000000" w:themeColor="text1"/>
          <w:sz w:val="24"/>
          <w14:textFill>
            <w14:solidFill>
              <w14:schemeClr w14:val="tx1"/>
            </w14:solidFill>
          </w14:textFill>
        </w:rPr>
        <w:t>应用数学方向：</w:t>
      </w:r>
      <w:r>
        <w:rPr>
          <w:rFonts w:hint="eastAsia" w:ascii="Times New Roman" w:hAnsi="Times New Roman" w:cs="宋体"/>
          <w:color w:val="000000" w:themeColor="text1"/>
          <w:sz w:val="24"/>
          <w14:textFill>
            <w14:solidFill>
              <w14:schemeClr w14:val="tx1"/>
            </w14:solidFill>
          </w14:textFill>
        </w:rPr>
        <w:t>本方向包括（脉冲）微分方程、非线性椭圆方程解、非线性动力系统等问题。研究利用非线性方法研究（脉冲）微分方程，利用Liaypunov方法及现代分析方法研究连续或离散微分方程解的稳定性；研究线性特征值问题、非线性椭圆方程解的存在性、唯一性、多解性等问题；研究非线性动力系统的分支、混沌、混沌控制及其应用、分数阶的微分方程的动力性质、以及动力系统的分支与混沌理论与应用。</w:t>
      </w:r>
    </w:p>
    <w:p>
      <w:pPr>
        <w:keepNext w:val="0"/>
        <w:keepLines w:val="0"/>
        <w:pageBreakBefore w:val="0"/>
        <w:widowControl/>
        <w:kinsoku/>
        <w:wordWrap/>
        <w:overflowPunct/>
        <w:topLinePunct w:val="0"/>
        <w:autoSpaceDE/>
        <w:autoSpaceDN/>
        <w:bidi w:val="0"/>
        <w:snapToGrid/>
        <w:spacing w:line="360" w:lineRule="auto"/>
        <w:ind w:left="0" w:firstLine="482" w:firstLineChars="200"/>
        <w:jc w:val="both"/>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b/>
          <w:color w:val="000000" w:themeColor="text1"/>
          <w:sz w:val="24"/>
          <w14:textFill>
            <w14:solidFill>
              <w14:schemeClr w14:val="tx1"/>
            </w14:solidFill>
          </w14:textFill>
        </w:rPr>
        <w:t>1</w:t>
      </w:r>
      <w:r>
        <w:rPr>
          <w:rFonts w:ascii="Times New Roman" w:hAnsi="Times New Roman" w:cs="宋体"/>
          <w:b/>
          <w:color w:val="000000" w:themeColor="text1"/>
          <w:sz w:val="24"/>
          <w14:textFill>
            <w14:solidFill>
              <w14:schemeClr w14:val="tx1"/>
            </w14:solidFill>
          </w14:textFill>
        </w:rPr>
        <w:t>.5</w:t>
      </w:r>
      <w:r>
        <w:rPr>
          <w:rFonts w:hint="eastAsia" w:ascii="Times New Roman" w:hAnsi="Times New Roman" w:cs="宋体"/>
          <w:b/>
          <w:color w:val="000000" w:themeColor="text1"/>
          <w:sz w:val="24"/>
          <w14:textFill>
            <w14:solidFill>
              <w14:schemeClr w14:val="tx1"/>
            </w14:solidFill>
          </w14:textFill>
        </w:rPr>
        <w:t>运筹学与控制论方向：</w:t>
      </w:r>
      <w:r>
        <w:rPr>
          <w:rFonts w:hint="eastAsia" w:ascii="Times New Roman" w:hAnsi="Times New Roman" w:cs="宋体"/>
          <w:color w:val="000000" w:themeColor="text1"/>
          <w:sz w:val="24"/>
          <w14:textFill>
            <w14:solidFill>
              <w14:schemeClr w14:val="tx1"/>
            </w14:solidFill>
          </w14:textFill>
        </w:rPr>
        <w:t>本方向研究包括拓扑图论、化学图论、代数图论、组合优化及近似算法等问题。研究图在曲面嵌入中的有关拓扑不变量的定性和定量刻划、图的交叉数； 研究图的代数参数如图的相关矩阵的谱、图的临界理想与临界群等， 以及图的有关指数的性质、极值图的刻画与图结构的关系；研究组合优化中的排序、分类、筛选问题、选址布局的优化问题、任务调度优化问题。</w:t>
      </w:r>
    </w:p>
    <w:p>
      <w:pPr>
        <w:keepNext w:val="0"/>
        <w:keepLines w:val="0"/>
        <w:pageBreakBefore w:val="0"/>
        <w:kinsoku/>
        <w:wordWrap/>
        <w:overflowPunct/>
        <w:topLinePunct w:val="0"/>
        <w:autoSpaceDE/>
        <w:autoSpaceDN/>
        <w:bidi w:val="0"/>
        <w:snapToGrid/>
        <w:spacing w:line="360" w:lineRule="auto"/>
        <w:ind w:left="0" w:firstLine="482" w:firstLineChars="200"/>
        <w:jc w:val="both"/>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b/>
          <w:color w:val="000000" w:themeColor="text1"/>
          <w:sz w:val="24"/>
          <w14:textFill>
            <w14:solidFill>
              <w14:schemeClr w14:val="tx1"/>
            </w14:solidFill>
          </w14:textFill>
        </w:rPr>
        <w:t>1</w:t>
      </w:r>
      <w:r>
        <w:rPr>
          <w:rFonts w:ascii="Times New Roman" w:hAnsi="Times New Roman" w:cs="宋体"/>
          <w:b/>
          <w:color w:val="000000" w:themeColor="text1"/>
          <w:sz w:val="24"/>
          <w14:textFill>
            <w14:solidFill>
              <w14:schemeClr w14:val="tx1"/>
            </w14:solidFill>
          </w14:textFill>
        </w:rPr>
        <w:t>.6</w:t>
      </w:r>
      <w:r>
        <w:rPr>
          <w:rFonts w:hint="eastAsia" w:ascii="Times New Roman" w:hAnsi="Times New Roman" w:cs="宋体"/>
          <w:b/>
          <w:color w:val="000000" w:themeColor="text1"/>
          <w:sz w:val="24"/>
          <w14:textFill>
            <w14:solidFill>
              <w14:schemeClr w14:val="tx1"/>
            </w14:solidFill>
          </w14:textFill>
        </w:rPr>
        <w:t>数学教育方向（仅招硕士研究生）：</w:t>
      </w:r>
      <w:r>
        <w:rPr>
          <w:rFonts w:hint="eastAsia" w:ascii="Times New Roman" w:hAnsi="Times New Roman" w:cs="宋体"/>
          <w:color w:val="000000" w:themeColor="text1"/>
          <w:sz w:val="24"/>
          <w14:textFill>
            <w14:solidFill>
              <w14:schemeClr w14:val="tx1"/>
            </w14:solidFill>
          </w14:textFill>
        </w:rPr>
        <w:t>本方向以数学、教育学和心理学等学科为基础，综合运用统计学、哲学、历史学、社会学、人类学、民族学、语言学、生态学和计算机科学与技术等学科的成果而形成的一门交叉学科。数学教育研究的对象是数学教育的实际的或潜在的、明显的或蕴涵的现象和过程。它的研究目的是要确认、理解、解释数学教育的现象、过程，并将其特征化，探索并弄清其中的因果关系，挖掘内在的机制。它的研究范围涉及从幼儿园直至大学及成人终身教育的各个水平，包括课程、教学、学习、评价、技术、公平和教师教育等领域。</w:t>
      </w:r>
    </w:p>
    <w:p>
      <w:pPr>
        <w:keepNext w:val="0"/>
        <w:keepLines w:val="0"/>
        <w:pageBreakBefore w:val="0"/>
        <w:kinsoku/>
        <w:wordWrap/>
        <w:overflowPunct/>
        <w:topLinePunct w:val="0"/>
        <w:autoSpaceDE/>
        <w:autoSpaceDN/>
        <w:bidi w:val="0"/>
        <w:snapToGrid/>
        <w:spacing w:line="360" w:lineRule="auto"/>
        <w:ind w:left="0" w:firstLine="602" w:firstLineChars="200"/>
        <w:jc w:val="both"/>
        <w:rPr>
          <w:rFonts w:ascii="Times New Roman" w:hAnsi="Times New Roman" w:cs="宋体"/>
          <w:b/>
          <w:color w:val="000000" w:themeColor="text1"/>
          <w:sz w:val="30"/>
          <w:szCs w:val="30"/>
          <w14:textFill>
            <w14:solidFill>
              <w14:schemeClr w14:val="tx1"/>
            </w14:solidFill>
          </w14:textFill>
        </w:rPr>
      </w:pPr>
      <w:r>
        <w:rPr>
          <w:rFonts w:ascii="Times New Roman" w:hAnsi="Times New Roman" w:cs="宋体"/>
          <w:b/>
          <w:color w:val="000000" w:themeColor="text1"/>
          <w:sz w:val="30"/>
          <w:szCs w:val="30"/>
          <w14:textFill>
            <w14:solidFill>
              <w14:schemeClr w14:val="tx1"/>
            </w14:solidFill>
          </w14:textFill>
        </w:rPr>
        <w:t>2</w:t>
      </w:r>
      <w:r>
        <w:rPr>
          <w:rFonts w:hint="eastAsia" w:ascii="Times New Roman" w:hAnsi="Times New Roman" w:cs="宋体"/>
          <w:b/>
          <w:color w:val="000000" w:themeColor="text1"/>
          <w:sz w:val="30"/>
          <w:szCs w:val="30"/>
          <w14:textFill>
            <w14:solidFill>
              <w14:schemeClr w14:val="tx1"/>
            </w14:solidFill>
          </w14:textFill>
        </w:rPr>
        <w:t>．师资队伍</w:t>
      </w:r>
    </w:p>
    <w:p>
      <w:pPr>
        <w:keepNext w:val="0"/>
        <w:keepLines w:val="0"/>
        <w:pageBreakBefore w:val="0"/>
        <w:kinsoku/>
        <w:wordWrap/>
        <w:overflowPunct/>
        <w:topLinePunct w:val="0"/>
        <w:autoSpaceDE/>
        <w:autoSpaceDN/>
        <w:bidi w:val="0"/>
        <w:snapToGrid/>
        <w:spacing w:line="360" w:lineRule="auto"/>
        <w:ind w:left="0" w:firstLine="480" w:firstLineChars="200"/>
        <w:jc w:val="both"/>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学科学位授权点现有专任教师72人，其中教授29人，副教授18人，享受国务院政府特殊津贴专家3人，国家优秀青年基金获得者2人，教育部新世纪人才计划人选3人，湖南省新世纪121人才工程人选2人，湖南省领军人才1人，湖南省“芙蓉学者”特聘教授2人，湖南省“百人计划”（青年）专家3人，湖南省普通高校学科带头人5人，湖湘高层次人才聚集工程创新人才3人，湖南省杰出青年基金获得者3人，湖南省湖湘英才入选2人，湖南省优秀青年基金获得者1人。非全职“潇湘学者”讲座教授3人。各方向带头人情况如下：</w:t>
      </w:r>
    </w:p>
    <w:tbl>
      <w:tblPr>
        <w:tblStyle w:val="8"/>
        <w:tblW w:w="8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2161"/>
        <w:gridCol w:w="1743"/>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216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学科方向</w:t>
            </w:r>
          </w:p>
        </w:tc>
        <w:tc>
          <w:tcPr>
            <w:tcW w:w="5938"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学科负责人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2161" w:type="dxa"/>
            <w:vMerge w:val="continue"/>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Times New Roman" w:hAnsi="Times New Roman" w:cs="宋体"/>
                <w:color w:val="000000" w:themeColor="text1"/>
                <w:sz w:val="24"/>
                <w14:textFill>
                  <w14:solidFill>
                    <w14:schemeClr w14:val="tx1"/>
                  </w14:solidFill>
                </w14:textFill>
              </w:rPr>
            </w:pPr>
          </w:p>
        </w:tc>
        <w:tc>
          <w:tcPr>
            <w:tcW w:w="21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姓名</w:t>
            </w:r>
          </w:p>
        </w:tc>
        <w:tc>
          <w:tcPr>
            <w:tcW w:w="1743"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年龄</w:t>
            </w:r>
          </w:p>
        </w:tc>
        <w:tc>
          <w:tcPr>
            <w:tcW w:w="203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专业技术职务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21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基础数学</w:t>
            </w:r>
          </w:p>
        </w:tc>
        <w:tc>
          <w:tcPr>
            <w:tcW w:w="21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刘罗飞</w:t>
            </w:r>
          </w:p>
        </w:tc>
        <w:tc>
          <w:tcPr>
            <w:tcW w:w="1743"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58</w:t>
            </w:r>
          </w:p>
        </w:tc>
        <w:tc>
          <w:tcPr>
            <w:tcW w:w="203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21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计算数学</w:t>
            </w:r>
          </w:p>
        </w:tc>
        <w:tc>
          <w:tcPr>
            <w:tcW w:w="21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徐大</w:t>
            </w:r>
          </w:p>
        </w:tc>
        <w:tc>
          <w:tcPr>
            <w:tcW w:w="1743"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62</w:t>
            </w:r>
          </w:p>
        </w:tc>
        <w:tc>
          <w:tcPr>
            <w:tcW w:w="203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21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概率论与数理统计</w:t>
            </w:r>
          </w:p>
        </w:tc>
        <w:tc>
          <w:tcPr>
            <w:tcW w:w="21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朱全新</w:t>
            </w:r>
          </w:p>
        </w:tc>
        <w:tc>
          <w:tcPr>
            <w:tcW w:w="1743"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47</w:t>
            </w:r>
          </w:p>
        </w:tc>
        <w:tc>
          <w:tcPr>
            <w:tcW w:w="203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21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应用数学</w:t>
            </w:r>
          </w:p>
        </w:tc>
        <w:tc>
          <w:tcPr>
            <w:tcW w:w="21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李雪梅</w:t>
            </w:r>
          </w:p>
        </w:tc>
        <w:tc>
          <w:tcPr>
            <w:tcW w:w="1743"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58</w:t>
            </w:r>
          </w:p>
        </w:tc>
        <w:tc>
          <w:tcPr>
            <w:tcW w:w="203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21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运筹学与控制论</w:t>
            </w:r>
          </w:p>
        </w:tc>
        <w:tc>
          <w:tcPr>
            <w:tcW w:w="21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黄元秋</w:t>
            </w:r>
          </w:p>
        </w:tc>
        <w:tc>
          <w:tcPr>
            <w:tcW w:w="1743"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56</w:t>
            </w:r>
          </w:p>
        </w:tc>
        <w:tc>
          <w:tcPr>
            <w:tcW w:w="203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1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数学教育</w:t>
            </w:r>
          </w:p>
        </w:tc>
        <w:tc>
          <w:tcPr>
            <w:tcW w:w="21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袁智强</w:t>
            </w:r>
          </w:p>
        </w:tc>
        <w:tc>
          <w:tcPr>
            <w:tcW w:w="1743"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44</w:t>
            </w:r>
          </w:p>
        </w:tc>
        <w:tc>
          <w:tcPr>
            <w:tcW w:w="203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副教授</w:t>
            </w:r>
          </w:p>
        </w:tc>
      </w:tr>
    </w:tbl>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学科学位授权点认真</w:t>
      </w:r>
      <w:r>
        <w:rPr>
          <w:rFonts w:ascii="Times New Roman" w:hAnsi="Times New Roman" w:cs="宋体"/>
          <w:color w:val="000000" w:themeColor="text1"/>
          <w:sz w:val="24"/>
          <w14:textFill>
            <w14:solidFill>
              <w14:schemeClr w14:val="tx1"/>
            </w14:solidFill>
          </w14:textFill>
        </w:rPr>
        <w:t>落实导师是研究生培养第一责任人的要求，</w:t>
      </w:r>
      <w:r>
        <w:rPr>
          <w:rFonts w:hint="eastAsia" w:ascii="Times New Roman" w:hAnsi="Times New Roman" w:cs="宋体"/>
          <w:color w:val="000000" w:themeColor="text1"/>
          <w:sz w:val="24"/>
          <w14:textFill>
            <w14:solidFill>
              <w14:schemeClr w14:val="tx1"/>
            </w14:solidFill>
          </w14:textFill>
        </w:rPr>
        <w:t>以导师年度考核为依托，分类制定《数学与统计学院申请硕士研究生指导教师教学科研基本条件》、《数学与统计学院硕士研究生指导教师考核细则》，实行同行督导评价、学生评价与管理人员评价相结合，把</w:t>
      </w:r>
      <w:r>
        <w:rPr>
          <w:rFonts w:ascii="Times New Roman" w:hAnsi="Times New Roman" w:cs="宋体"/>
          <w:color w:val="000000" w:themeColor="text1"/>
          <w:sz w:val="24"/>
          <w14:textFill>
            <w14:solidFill>
              <w14:schemeClr w14:val="tx1"/>
            </w14:solidFill>
          </w14:textFill>
        </w:rPr>
        <w:t>师德师风、政治表现、指导精力投入、学术水平、育人实效等</w:t>
      </w:r>
      <w:r>
        <w:rPr>
          <w:rFonts w:hint="eastAsia" w:ascii="Times New Roman" w:hAnsi="Times New Roman" w:cs="宋体"/>
          <w:color w:val="000000" w:themeColor="text1"/>
          <w:sz w:val="24"/>
          <w14:textFill>
            <w14:solidFill>
              <w14:schemeClr w14:val="tx1"/>
            </w14:solidFill>
          </w14:textFill>
        </w:rPr>
        <w:t>考评结果与导师职称作为导师年度招生资格和招生指标分配的重要依据，完善了动态考核与淘汰机制。截至</w:t>
      </w:r>
      <w:r>
        <w:rPr>
          <w:rFonts w:ascii="Times New Roman" w:hAnsi="Times New Roman" w:cs="宋体"/>
          <w:color w:val="000000" w:themeColor="text1"/>
          <w:sz w:val="24"/>
          <w14:textFill>
            <w14:solidFill>
              <w14:schemeClr w14:val="tx1"/>
            </w14:solidFill>
          </w14:textFill>
        </w:rPr>
        <w:t>20</w:t>
      </w:r>
      <w:r>
        <w:rPr>
          <w:rFonts w:hint="eastAsia" w:ascii="Times New Roman" w:hAnsi="Times New Roman" w:cs="宋体"/>
          <w:color w:val="000000" w:themeColor="text1"/>
          <w:sz w:val="24"/>
          <w14:textFill>
            <w14:solidFill>
              <w14:schemeClr w14:val="tx1"/>
            </w14:solidFill>
          </w14:textFill>
        </w:rPr>
        <w:t>21年底，本学科学位授权点硕士研究生导师77人，博士研究生导师35人，研究生招生数量与导师数量比例更趋合理，基本满足了高层次人才培养和学科学位点发展的需要。</w:t>
      </w:r>
    </w:p>
    <w:p>
      <w:pPr>
        <w:keepNext w:val="0"/>
        <w:keepLines w:val="0"/>
        <w:pageBreakBefore w:val="0"/>
        <w:widowControl w:val="0"/>
        <w:kinsoku/>
        <w:wordWrap/>
        <w:overflowPunct/>
        <w:topLinePunct w:val="0"/>
        <w:autoSpaceDE/>
        <w:autoSpaceDN/>
        <w:bidi w:val="0"/>
        <w:adjustRightInd/>
        <w:spacing w:line="360" w:lineRule="auto"/>
        <w:ind w:firstLine="602" w:firstLineChars="200"/>
        <w:jc w:val="both"/>
        <w:textAlignment w:val="auto"/>
        <w:rPr>
          <w:rFonts w:ascii="Times New Roman" w:hAnsi="Times New Roman" w:cs="宋体"/>
          <w:b/>
          <w:color w:val="000000" w:themeColor="text1"/>
          <w:sz w:val="30"/>
          <w:szCs w:val="30"/>
          <w14:textFill>
            <w14:solidFill>
              <w14:schemeClr w14:val="tx1"/>
            </w14:solidFill>
          </w14:textFill>
        </w:rPr>
      </w:pPr>
      <w:r>
        <w:rPr>
          <w:rFonts w:ascii="Times New Roman" w:hAnsi="Times New Roman" w:cs="宋体"/>
          <w:b/>
          <w:color w:val="000000" w:themeColor="text1"/>
          <w:sz w:val="30"/>
          <w:szCs w:val="30"/>
          <w14:textFill>
            <w14:solidFill>
              <w14:schemeClr w14:val="tx1"/>
            </w14:solidFill>
          </w14:textFill>
        </w:rPr>
        <w:t>3</w:t>
      </w:r>
      <w:r>
        <w:rPr>
          <w:rFonts w:hint="eastAsia" w:ascii="Times New Roman" w:hAnsi="Times New Roman" w:cs="宋体"/>
          <w:b/>
          <w:color w:val="000000" w:themeColor="text1"/>
          <w:sz w:val="30"/>
          <w:szCs w:val="30"/>
          <w14:textFill>
            <w14:solidFill>
              <w14:schemeClr w14:val="tx1"/>
            </w14:solidFill>
          </w14:textFill>
        </w:rPr>
        <w:t>．科学研究</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2021年，学科学位授权点获国家自然科学基金9项，其中总经费360余万元。获湖南省自然科学基金3项。湖南省科技领军人才项目1项。获湖南省教育厅科学研究项目4项；湖南省青年科技奖1项;发表SCI收录论文75余篇，部分论文发表在J.Eur.Math.Soc.; Math. Ann.; Calculus of PDE、Int.J.Numer.Math.En.等国际权威期刊接收或发表。组织国内学术会议4次，专家讲座87余人次，应邀出访参加学术交流28人次左右，并作报告16次左右。</w:t>
      </w:r>
    </w:p>
    <w:p>
      <w:pPr>
        <w:keepNext w:val="0"/>
        <w:keepLines w:val="0"/>
        <w:pageBreakBefore w:val="0"/>
        <w:widowControl w:val="0"/>
        <w:kinsoku/>
        <w:wordWrap/>
        <w:overflowPunct/>
        <w:topLinePunct w:val="0"/>
        <w:autoSpaceDE/>
        <w:autoSpaceDN/>
        <w:bidi w:val="0"/>
        <w:adjustRightInd/>
        <w:spacing w:line="360" w:lineRule="auto"/>
        <w:ind w:firstLine="602" w:firstLineChars="200"/>
        <w:jc w:val="both"/>
        <w:textAlignment w:val="auto"/>
        <w:rPr>
          <w:rFonts w:ascii="Times New Roman" w:hAnsi="Times New Roman" w:cs="宋体"/>
          <w:b/>
          <w:color w:val="000000" w:themeColor="text1"/>
          <w:sz w:val="30"/>
          <w:szCs w:val="30"/>
          <w14:textFill>
            <w14:solidFill>
              <w14:schemeClr w14:val="tx1"/>
            </w14:solidFill>
          </w14:textFill>
        </w:rPr>
      </w:pPr>
      <w:r>
        <w:rPr>
          <w:rFonts w:ascii="Times New Roman" w:hAnsi="Times New Roman" w:cs="宋体"/>
          <w:b/>
          <w:color w:val="000000" w:themeColor="text1"/>
          <w:sz w:val="30"/>
          <w:szCs w:val="30"/>
          <w14:textFill>
            <w14:solidFill>
              <w14:schemeClr w14:val="tx1"/>
            </w14:solidFill>
          </w14:textFill>
        </w:rPr>
        <w:t>4</w:t>
      </w:r>
      <w:r>
        <w:rPr>
          <w:rFonts w:hint="eastAsia" w:ascii="Times New Roman" w:hAnsi="Times New Roman" w:cs="宋体"/>
          <w:b/>
          <w:color w:val="000000" w:themeColor="text1"/>
          <w:sz w:val="30"/>
          <w:szCs w:val="30"/>
          <w14:textFill>
            <w14:solidFill>
              <w14:schemeClr w14:val="tx1"/>
            </w14:solidFill>
          </w14:textFill>
        </w:rPr>
        <w:t>．平台建设</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学科学位授权点依托省部共建教育部重点实验室——“计算与随机信息处理” 实验室、湖南省普通高校重点实验室——“计算与随机数学及其应用”实验室、湖南省工程中心——数字动漫、湖南省高校科技创新团队——数学中的现代分析及应用、湖南省高校教学团队——数学基础课程等先进的教学科研平台，实验室仪器设备总价值达2000余万元为研究生教学科研工作的开展提供了强有力保障。</w:t>
      </w:r>
    </w:p>
    <w:p>
      <w:pPr>
        <w:keepNext w:val="0"/>
        <w:keepLines w:val="0"/>
        <w:pageBreakBefore w:val="0"/>
        <w:widowControl w:val="0"/>
        <w:kinsoku/>
        <w:wordWrap/>
        <w:overflowPunct/>
        <w:topLinePunct w:val="0"/>
        <w:autoSpaceDE/>
        <w:autoSpaceDN/>
        <w:bidi w:val="0"/>
        <w:adjustRightInd/>
        <w:spacing w:line="360" w:lineRule="auto"/>
        <w:ind w:firstLine="602" w:firstLineChars="200"/>
        <w:jc w:val="both"/>
        <w:textAlignment w:val="auto"/>
        <w:rPr>
          <w:rFonts w:ascii="Times New Roman" w:hAnsi="Times New Roman" w:cs="宋体"/>
          <w:b/>
          <w:color w:val="000000" w:themeColor="text1"/>
          <w:sz w:val="30"/>
          <w:szCs w:val="30"/>
          <w14:textFill>
            <w14:solidFill>
              <w14:schemeClr w14:val="tx1"/>
            </w14:solidFill>
          </w14:textFill>
        </w:rPr>
      </w:pPr>
      <w:r>
        <w:rPr>
          <w:rFonts w:ascii="Times New Roman" w:hAnsi="Times New Roman" w:cs="宋体"/>
          <w:b/>
          <w:color w:val="000000" w:themeColor="text1"/>
          <w:sz w:val="30"/>
          <w:szCs w:val="30"/>
          <w14:textFill>
            <w14:solidFill>
              <w14:schemeClr w14:val="tx1"/>
            </w14:solidFill>
          </w14:textFill>
        </w:rPr>
        <w:t>5</w:t>
      </w:r>
      <w:r>
        <w:rPr>
          <w:rFonts w:hint="eastAsia" w:ascii="Times New Roman" w:hAnsi="Times New Roman" w:cs="宋体"/>
          <w:b/>
          <w:color w:val="000000" w:themeColor="text1"/>
          <w:sz w:val="30"/>
          <w:szCs w:val="30"/>
          <w14:textFill>
            <w14:solidFill>
              <w14:schemeClr w14:val="tx1"/>
            </w14:solidFill>
          </w14:textFill>
        </w:rPr>
        <w:t>．奖助体系</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学科学位授权点鼓励研究生导师在经费充足及有相关政策允许的前提下，给研究生适当科研资助。学科学位授权点下设国家奖学金、学业奖学金、助学金、刘筠奖学金以及奋发奖学金等制度，奖助体系制度健全、执行严格、奖助体系覆盖面较大。</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ascii="Times New Roman" w:hAnsi="Times New Roman" w:cs="宋体"/>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360" w:lineRule="auto"/>
        <w:ind w:firstLine="640" w:firstLineChars="200"/>
        <w:jc w:val="both"/>
        <w:textAlignment w:val="auto"/>
        <w:rPr>
          <w:rFonts w:hint="eastAsia"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spacing w:line="360" w:lineRule="auto"/>
        <w:ind w:firstLine="640" w:firstLineChars="200"/>
        <w:jc w:val="both"/>
        <w:textAlignment w:val="auto"/>
        <w:rPr>
          <w:rFonts w:ascii="Times New Roman" w:hAnsi="Times New Roman" w:eastAsia="黑体"/>
          <w:sz w:val="32"/>
          <w:szCs w:val="32"/>
        </w:rPr>
      </w:pPr>
      <w:r>
        <w:rPr>
          <w:rFonts w:hint="eastAsia" w:ascii="Times New Roman" w:hAnsi="Times New Roman" w:eastAsia="黑体"/>
          <w:sz w:val="32"/>
          <w:szCs w:val="32"/>
        </w:rPr>
        <w:t>三、</w:t>
      </w:r>
      <w:r>
        <w:rPr>
          <w:rFonts w:ascii="Times New Roman" w:hAnsi="Times New Roman" w:eastAsia="黑体"/>
          <w:sz w:val="32"/>
          <w:szCs w:val="32"/>
        </w:rPr>
        <w:t>学位授权点人才培养情况</w:t>
      </w:r>
    </w:p>
    <w:p>
      <w:pPr>
        <w:keepNext w:val="0"/>
        <w:keepLines w:val="0"/>
        <w:pageBreakBefore w:val="0"/>
        <w:widowControl w:val="0"/>
        <w:kinsoku/>
        <w:wordWrap/>
        <w:overflowPunct/>
        <w:topLinePunct w:val="0"/>
        <w:autoSpaceDE/>
        <w:autoSpaceDN/>
        <w:bidi w:val="0"/>
        <w:adjustRightInd/>
        <w:spacing w:line="360" w:lineRule="auto"/>
        <w:ind w:firstLine="602" w:firstLineChars="200"/>
        <w:jc w:val="both"/>
        <w:textAlignment w:val="auto"/>
        <w:rPr>
          <w:rFonts w:ascii="Times New Roman" w:hAnsi="Times New Roman" w:cs="宋体"/>
          <w:b/>
          <w:color w:val="000000" w:themeColor="text1"/>
          <w:sz w:val="30"/>
          <w:szCs w:val="30"/>
          <w14:textFill>
            <w14:solidFill>
              <w14:schemeClr w14:val="tx1"/>
            </w14:solidFill>
          </w14:textFill>
        </w:rPr>
      </w:pPr>
      <w:r>
        <w:rPr>
          <w:rFonts w:ascii="Times New Roman" w:hAnsi="Times New Roman" w:cs="宋体"/>
          <w:b/>
          <w:color w:val="000000" w:themeColor="text1"/>
          <w:sz w:val="30"/>
          <w:szCs w:val="30"/>
          <w14:textFill>
            <w14:solidFill>
              <w14:schemeClr w14:val="tx1"/>
            </w14:solidFill>
          </w14:textFill>
        </w:rPr>
        <w:t>1</w:t>
      </w:r>
      <w:r>
        <w:rPr>
          <w:rFonts w:hint="eastAsia" w:ascii="Times New Roman" w:hAnsi="Times New Roman" w:cs="宋体"/>
          <w:b/>
          <w:color w:val="000000" w:themeColor="text1"/>
          <w:sz w:val="30"/>
          <w:szCs w:val="30"/>
          <w14:textFill>
            <w14:solidFill>
              <w14:schemeClr w14:val="tx1"/>
            </w14:solidFill>
          </w14:textFill>
        </w:rPr>
        <w:t>．党建及思政工作</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学科</w:t>
      </w:r>
      <w:r>
        <w:rPr>
          <w:rFonts w:ascii="Times New Roman" w:hAnsi="Times New Roman" w:cs="宋体"/>
          <w:color w:val="000000" w:themeColor="text1"/>
          <w:sz w:val="24"/>
          <w14:textFill>
            <w14:solidFill>
              <w14:schemeClr w14:val="tx1"/>
            </w14:solidFill>
          </w14:textFill>
        </w:rPr>
        <w:t>学位授权点坚持用习近平新时代中国特色社会主义思想铸魂育人，将思想政治工作“基因式”融入学科发展各阶段、教育</w:t>
      </w:r>
      <w:r>
        <w:rPr>
          <w:rFonts w:hint="eastAsia" w:ascii="Times New Roman" w:hAnsi="Times New Roman" w:cs="宋体"/>
          <w:color w:val="000000" w:themeColor="text1"/>
          <w:sz w:val="24"/>
          <w14:textFill>
            <w14:solidFill>
              <w14:schemeClr w14:val="tx1"/>
            </w14:solidFill>
          </w14:textFill>
        </w:rPr>
        <w:t>科研</w:t>
      </w:r>
      <w:r>
        <w:rPr>
          <w:rFonts w:ascii="Times New Roman" w:hAnsi="Times New Roman" w:cs="宋体"/>
          <w:color w:val="000000" w:themeColor="text1"/>
          <w:sz w:val="24"/>
          <w14:textFill>
            <w14:solidFill>
              <w14:schemeClr w14:val="tx1"/>
            </w14:solidFill>
          </w14:textFill>
        </w:rPr>
        <w:t>各环节、人才培养各方面，搭建思政教育“点线面体网”框架，构建“三全育人”立体培养场域，形成思政育人新常态。</w:t>
      </w:r>
    </w:p>
    <w:p>
      <w:pPr>
        <w:keepNext w:val="0"/>
        <w:keepLines w:val="0"/>
        <w:pageBreakBefore w:val="0"/>
        <w:widowControl w:val="0"/>
        <w:kinsoku/>
        <w:wordWrap/>
        <w:overflowPunct/>
        <w:topLinePunct w:val="0"/>
        <w:autoSpaceDE/>
        <w:autoSpaceDN/>
        <w:bidi w:val="0"/>
        <w:adjustRightInd/>
        <w:spacing w:line="360" w:lineRule="auto"/>
        <w:ind w:firstLine="482" w:firstLineChars="200"/>
        <w:jc w:val="both"/>
        <w:textAlignment w:val="auto"/>
        <w:rPr>
          <w:rFonts w:ascii="Times New Roman" w:hAnsi="Times New Roman" w:cs="宋体"/>
          <w:color w:val="000000" w:themeColor="text1"/>
          <w:sz w:val="24"/>
          <w14:textFill>
            <w14:solidFill>
              <w14:schemeClr w14:val="tx1"/>
            </w14:solidFill>
          </w14:textFill>
        </w:rPr>
      </w:pPr>
      <w:r>
        <w:rPr>
          <w:rFonts w:ascii="Times New Roman" w:hAnsi="Times New Roman" w:cs="宋体"/>
          <w:b/>
          <w:color w:val="000000" w:themeColor="text1"/>
          <w:sz w:val="24"/>
          <w14:textFill>
            <w14:solidFill>
              <w14:schemeClr w14:val="tx1"/>
            </w14:solidFill>
          </w14:textFill>
        </w:rPr>
        <w:t>1.1</w:t>
      </w:r>
      <w:r>
        <w:rPr>
          <w:rFonts w:hint="eastAsia" w:ascii="Times New Roman" w:hAnsi="Times New Roman" w:cs="宋体"/>
          <w:b/>
          <w:color w:val="000000" w:themeColor="text1"/>
          <w:sz w:val="24"/>
          <w14:textFill>
            <w14:solidFill>
              <w14:schemeClr w14:val="tx1"/>
            </w14:solidFill>
          </w14:textFill>
        </w:rPr>
        <w:t>大力加强研究生思政队伍建设</w:t>
      </w:r>
      <w:r>
        <w:rPr>
          <w:rFonts w:hint="eastAsia" w:ascii="Times New Roman" w:hAnsi="Times New Roman" w:cs="宋体"/>
          <w:color w:val="000000" w:themeColor="text1"/>
          <w:sz w:val="24"/>
          <w14:textFill>
            <w14:solidFill>
              <w14:schemeClr w14:val="tx1"/>
            </w14:solidFill>
          </w14:textFill>
        </w:rPr>
        <w:t>。配齐配强“导师—辅导员—党支部书记”三级思政工作力量，发挥好三者之间的协同合力，充分发挥导师作为研究生培养第一责任人的作用，提升思政育人水平。</w:t>
      </w:r>
    </w:p>
    <w:p>
      <w:pPr>
        <w:keepNext w:val="0"/>
        <w:keepLines w:val="0"/>
        <w:pageBreakBefore w:val="0"/>
        <w:widowControl w:val="0"/>
        <w:kinsoku/>
        <w:wordWrap/>
        <w:overflowPunct/>
        <w:topLinePunct w:val="0"/>
        <w:autoSpaceDE/>
        <w:autoSpaceDN/>
        <w:bidi w:val="0"/>
        <w:adjustRightInd/>
        <w:spacing w:line="360" w:lineRule="auto"/>
        <w:ind w:firstLine="482" w:firstLineChars="200"/>
        <w:jc w:val="both"/>
        <w:textAlignment w:val="auto"/>
        <w:rPr>
          <w:rFonts w:ascii="Times New Roman" w:hAnsi="Times New Roman" w:cs="宋体"/>
          <w:color w:val="000000" w:themeColor="text1"/>
          <w:sz w:val="24"/>
          <w14:textFill>
            <w14:solidFill>
              <w14:schemeClr w14:val="tx1"/>
            </w14:solidFill>
          </w14:textFill>
        </w:rPr>
      </w:pPr>
      <w:r>
        <w:rPr>
          <w:rFonts w:ascii="Times New Roman" w:hAnsi="Times New Roman" w:cs="宋体"/>
          <w:b/>
          <w:color w:val="000000" w:themeColor="text1"/>
          <w:sz w:val="24"/>
          <w14:textFill>
            <w14:solidFill>
              <w14:schemeClr w14:val="tx1"/>
            </w14:solidFill>
          </w14:textFill>
        </w:rPr>
        <w:t>1.</w:t>
      </w:r>
      <w:r>
        <w:rPr>
          <w:rFonts w:hint="eastAsia" w:ascii="Times New Roman" w:hAnsi="Times New Roman" w:cs="宋体"/>
          <w:b/>
          <w:color w:val="000000" w:themeColor="text1"/>
          <w:sz w:val="24"/>
          <w14:textFill>
            <w14:solidFill>
              <w14:schemeClr w14:val="tx1"/>
            </w14:solidFill>
          </w14:textFill>
        </w:rPr>
        <w:t>2</w:t>
      </w:r>
      <w:r>
        <w:rPr>
          <w:rFonts w:ascii="Times New Roman" w:hAnsi="Times New Roman" w:cs="宋体"/>
          <w:b/>
          <w:color w:val="000000" w:themeColor="text1"/>
          <w:sz w:val="24"/>
          <w14:textFill>
            <w14:solidFill>
              <w14:schemeClr w14:val="tx1"/>
            </w14:solidFill>
          </w14:textFill>
        </w:rPr>
        <w:t>发挥课堂教学主渠道作用，实现思政与课程融合共生。</w:t>
      </w:r>
      <w:r>
        <w:rPr>
          <w:rFonts w:ascii="Times New Roman" w:hAnsi="Times New Roman" w:cs="宋体"/>
          <w:color w:val="000000" w:themeColor="text1"/>
          <w:sz w:val="24"/>
          <w14:textFill>
            <w14:solidFill>
              <w14:schemeClr w14:val="tx1"/>
            </w14:solidFill>
          </w14:textFill>
        </w:rPr>
        <w:t>深挖学科课程思政内涵，全面修订学位授权点人才培养方案和课程教学大纲。推动教学改革研究， 以科研项目为依托，打造课程思政研究团队。提升课程思政意识，把课程思政开展情况作为教学督导和导师评优奖励的重要依据。</w:t>
      </w:r>
    </w:p>
    <w:p>
      <w:pPr>
        <w:keepNext w:val="0"/>
        <w:keepLines w:val="0"/>
        <w:pageBreakBefore w:val="0"/>
        <w:widowControl w:val="0"/>
        <w:kinsoku/>
        <w:wordWrap/>
        <w:overflowPunct/>
        <w:topLinePunct w:val="0"/>
        <w:autoSpaceDE/>
        <w:autoSpaceDN/>
        <w:bidi w:val="0"/>
        <w:adjustRightInd/>
        <w:spacing w:line="360" w:lineRule="auto"/>
        <w:ind w:firstLine="482" w:firstLineChars="200"/>
        <w:jc w:val="both"/>
        <w:textAlignment w:val="auto"/>
        <w:rPr>
          <w:rFonts w:ascii="Times New Roman" w:hAnsi="Times New Roman" w:cs="宋体"/>
          <w:color w:val="000000" w:themeColor="text1"/>
          <w:sz w:val="24"/>
          <w14:textFill>
            <w14:solidFill>
              <w14:schemeClr w14:val="tx1"/>
            </w14:solidFill>
          </w14:textFill>
        </w:rPr>
      </w:pPr>
      <w:r>
        <w:rPr>
          <w:rFonts w:ascii="Times New Roman" w:hAnsi="Times New Roman" w:cs="宋体"/>
          <w:b/>
          <w:color w:val="000000" w:themeColor="text1"/>
          <w:sz w:val="24"/>
          <w14:textFill>
            <w14:solidFill>
              <w14:schemeClr w14:val="tx1"/>
            </w14:solidFill>
          </w14:textFill>
        </w:rPr>
        <w:t>1.</w:t>
      </w:r>
      <w:r>
        <w:rPr>
          <w:rFonts w:hint="eastAsia" w:ascii="Times New Roman" w:hAnsi="Times New Roman" w:cs="宋体"/>
          <w:b/>
          <w:color w:val="000000" w:themeColor="text1"/>
          <w:sz w:val="24"/>
          <w14:textFill>
            <w14:solidFill>
              <w14:schemeClr w14:val="tx1"/>
            </w14:solidFill>
          </w14:textFill>
        </w:rPr>
        <w:t>3推进</w:t>
      </w:r>
      <w:r>
        <w:rPr>
          <w:rFonts w:ascii="Times New Roman" w:hAnsi="Times New Roman" w:cs="宋体"/>
          <w:b/>
          <w:color w:val="000000" w:themeColor="text1"/>
          <w:sz w:val="24"/>
          <w14:textFill>
            <w14:solidFill>
              <w14:schemeClr w14:val="tx1"/>
            </w14:solidFill>
          </w14:textFill>
        </w:rPr>
        <w:t>实践育人深入</w:t>
      </w:r>
      <w:r>
        <w:rPr>
          <w:rFonts w:hint="eastAsia" w:ascii="Times New Roman" w:hAnsi="Times New Roman" w:cs="宋体"/>
          <w:b/>
          <w:color w:val="000000" w:themeColor="text1"/>
          <w:sz w:val="24"/>
          <w14:textFill>
            <w14:solidFill>
              <w14:schemeClr w14:val="tx1"/>
            </w14:solidFill>
          </w14:textFill>
        </w:rPr>
        <w:t>，促进研究生“德智体美劳”全面发展。</w:t>
      </w:r>
      <w:r>
        <w:rPr>
          <w:rFonts w:ascii="Times New Roman" w:hAnsi="Times New Roman" w:cs="宋体"/>
          <w:color w:val="000000" w:themeColor="text1"/>
          <w:sz w:val="24"/>
          <w14:textFill>
            <w14:solidFill>
              <w14:schemeClr w14:val="tx1"/>
            </w14:solidFill>
          </w14:textFill>
        </w:rPr>
        <w:t>打造学科竞赛平台，开展创新实践。依托数学建模竞赛培养数学应用创新人才</w:t>
      </w:r>
      <w:r>
        <w:rPr>
          <w:rFonts w:hint="eastAsia" w:ascii="Times New Roman" w:hAnsi="Times New Roman" w:cs="宋体"/>
          <w:color w:val="000000" w:themeColor="text1"/>
          <w:sz w:val="24"/>
          <w14:textFill>
            <w14:solidFill>
              <w14:schemeClr w14:val="tx1"/>
            </w14:solidFill>
          </w14:textFill>
        </w:rPr>
        <w:t>；</w:t>
      </w:r>
      <w:r>
        <w:rPr>
          <w:rFonts w:ascii="Times New Roman" w:hAnsi="Times New Roman" w:cs="宋体"/>
          <w:color w:val="000000" w:themeColor="text1"/>
          <w:sz w:val="24"/>
          <w14:textFill>
            <w14:solidFill>
              <w14:schemeClr w14:val="tx1"/>
            </w14:solidFill>
          </w14:textFill>
        </w:rPr>
        <w:t>提供志愿服务平台，开展社会实践。创建“区校共建”工作品牌，鼓励学生走进社区、走进基层。助力乡村振兴，大力推进社会实践和志愿支教活动。部分研究生自愿赴国家级贫困县绥宁一中支教，该活动得到教育部的肯定和推广</w:t>
      </w:r>
      <w:r>
        <w:rPr>
          <w:rFonts w:hint="eastAsia" w:ascii="Times New Roman" w:hAnsi="Times New Roman" w:cs="宋体"/>
          <w:color w:val="000000" w:themeColor="text1"/>
          <w:sz w:val="24"/>
          <w14:textFill>
            <w14:solidFill>
              <w14:schemeClr w14:val="tx1"/>
            </w14:solidFill>
          </w14:textFill>
        </w:rPr>
        <w:t>；</w:t>
      </w:r>
      <w:r>
        <w:rPr>
          <w:rFonts w:ascii="Times New Roman" w:hAnsi="Times New Roman" w:cs="宋体"/>
          <w:color w:val="000000" w:themeColor="text1"/>
          <w:sz w:val="24"/>
          <w14:textFill>
            <w14:solidFill>
              <w14:schemeClr w14:val="tx1"/>
            </w14:solidFill>
          </w14:textFill>
        </w:rPr>
        <w:t>利用科研创新平台，开展专业实践。利用计算与随机数学教育部重点实验室、湖南国家应用数学中心、潇湘大数据研究院等平台，学以致用，弘扬经世致用的湖湘精神。</w:t>
      </w:r>
    </w:p>
    <w:p>
      <w:pPr>
        <w:keepNext w:val="0"/>
        <w:keepLines w:val="0"/>
        <w:pageBreakBefore w:val="0"/>
        <w:widowControl w:val="0"/>
        <w:kinsoku/>
        <w:wordWrap/>
        <w:overflowPunct/>
        <w:topLinePunct w:val="0"/>
        <w:autoSpaceDE/>
        <w:autoSpaceDN/>
        <w:bidi w:val="0"/>
        <w:adjustRightInd/>
        <w:spacing w:line="360" w:lineRule="auto"/>
        <w:ind w:firstLine="482" w:firstLineChars="200"/>
        <w:jc w:val="both"/>
        <w:textAlignment w:val="auto"/>
        <w:rPr>
          <w:rFonts w:ascii="Times New Roman" w:hAnsi="Times New Roman" w:cs="宋体"/>
          <w:color w:val="000000" w:themeColor="text1"/>
          <w:sz w:val="24"/>
          <w14:textFill>
            <w14:solidFill>
              <w14:schemeClr w14:val="tx1"/>
            </w14:solidFill>
          </w14:textFill>
        </w:rPr>
      </w:pPr>
      <w:r>
        <w:rPr>
          <w:rFonts w:ascii="Times New Roman" w:hAnsi="Times New Roman" w:cs="宋体"/>
          <w:b/>
          <w:color w:val="000000" w:themeColor="text1"/>
          <w:sz w:val="24"/>
          <w14:textFill>
            <w14:solidFill>
              <w14:schemeClr w14:val="tx1"/>
            </w14:solidFill>
          </w14:textFill>
        </w:rPr>
        <w:t>1.4</w:t>
      </w:r>
      <w:r>
        <w:rPr>
          <w:rFonts w:hint="eastAsia" w:ascii="Times New Roman" w:hAnsi="Times New Roman" w:cs="宋体"/>
          <w:b/>
          <w:color w:val="000000" w:themeColor="text1"/>
          <w:sz w:val="24"/>
          <w14:textFill>
            <w14:solidFill>
              <w14:schemeClr w14:val="tx1"/>
            </w14:solidFill>
          </w14:textFill>
        </w:rPr>
        <w:t>促进意识形态阵地建设，旗帜鲜明开展纪律教育。</w:t>
      </w:r>
      <w:r>
        <w:rPr>
          <w:rFonts w:ascii="Times New Roman" w:hAnsi="Times New Roman" w:cs="宋体"/>
          <w:color w:val="000000" w:themeColor="text1"/>
          <w:sz w:val="24"/>
          <w14:textFill>
            <w14:solidFill>
              <w14:schemeClr w14:val="tx1"/>
            </w14:solidFill>
          </w14:textFill>
        </w:rPr>
        <w:t>坚定理想信念，把全院师生团结和凝聚在中国特色社会主义伟大旗帜下，营造良好政治生态。弘扬奋发精神，开办奋发思政讲堂，校友自发出资设立奋发奖学金，让奋发和感恩薪火相传</w:t>
      </w:r>
      <w:r>
        <w:rPr>
          <w:rFonts w:hint="eastAsia" w:ascii="Times New Roman" w:hAnsi="Times New Roman" w:cs="宋体"/>
          <w:color w:val="000000" w:themeColor="text1"/>
          <w:sz w:val="24"/>
          <w14:textFill>
            <w14:solidFill>
              <w14:schemeClr w14:val="tx1"/>
            </w14:solidFill>
          </w14:textFill>
        </w:rPr>
        <w:t>；</w:t>
      </w:r>
      <w:r>
        <w:rPr>
          <w:rFonts w:ascii="Times New Roman" w:hAnsi="Times New Roman" w:cs="宋体"/>
          <w:color w:val="000000" w:themeColor="text1"/>
          <w:sz w:val="24"/>
          <w14:textFill>
            <w14:solidFill>
              <w14:schemeClr w14:val="tx1"/>
            </w14:solidFill>
          </w14:textFill>
        </w:rPr>
        <w:t>传播数学文化，推进创新教育。精心打造高质量文化品牌—</w:t>
      </w:r>
      <w:r>
        <w:rPr>
          <w:rFonts w:hint="eastAsia" w:ascii="Times New Roman" w:hAnsi="Times New Roman" w:cs="宋体"/>
          <w:color w:val="000000" w:themeColor="text1"/>
          <w:sz w:val="24"/>
          <w14:textFill>
            <w14:solidFill>
              <w14:schemeClr w14:val="tx1"/>
            </w14:solidFill>
          </w14:textFill>
        </w:rPr>
        <w:t>—</w:t>
      </w:r>
      <w:r>
        <w:rPr>
          <w:rFonts w:ascii="Times New Roman" w:hAnsi="Times New Roman" w:cs="宋体"/>
          <w:color w:val="000000" w:themeColor="text1"/>
          <w:sz w:val="24"/>
          <w14:textFill>
            <w14:solidFill>
              <w14:schemeClr w14:val="tx1"/>
            </w14:solidFill>
          </w14:textFill>
        </w:rPr>
        <w:t>数学文化节，开办九章数学论坛、麓山数学教育论坛，邀请国内外著名数学家和数学教育家做科普类报告，发挥名师大家的示范引领作用</w:t>
      </w:r>
      <w:r>
        <w:rPr>
          <w:rFonts w:hint="eastAsia" w:ascii="Times New Roman" w:hAnsi="Times New Roman" w:cs="宋体"/>
          <w:color w:val="000000" w:themeColor="text1"/>
          <w:sz w:val="24"/>
          <w14:textFill>
            <w14:solidFill>
              <w14:schemeClr w14:val="tx1"/>
            </w14:solidFill>
          </w14:textFill>
        </w:rPr>
        <w:t>；</w:t>
      </w:r>
      <w:r>
        <w:rPr>
          <w:rFonts w:ascii="Times New Roman" w:hAnsi="Times New Roman" w:cs="宋体"/>
          <w:color w:val="000000" w:themeColor="text1"/>
          <w:sz w:val="24"/>
          <w14:textFill>
            <w14:solidFill>
              <w14:schemeClr w14:val="tx1"/>
            </w14:solidFill>
          </w14:textFill>
        </w:rPr>
        <w:t>构筑网络方阵，实现价值引领。学院官网、微信公众号和教育部重点实验室网站已成为传播核心价值观的高地</w:t>
      </w:r>
      <w:r>
        <w:rPr>
          <w:rFonts w:hint="eastAsia" w:ascii="Times New Roman" w:hAnsi="Times New Roman" w:cs="宋体"/>
          <w:color w:val="000000" w:themeColor="text1"/>
          <w:sz w:val="24"/>
          <w14:textFill>
            <w14:solidFill>
              <w14:schemeClr w14:val="tx1"/>
            </w14:solidFill>
          </w14:textFill>
        </w:rPr>
        <w:t>；</w:t>
      </w:r>
      <w:r>
        <w:rPr>
          <w:rFonts w:ascii="Times New Roman" w:hAnsi="Times New Roman" w:cs="宋体"/>
          <w:color w:val="000000" w:themeColor="text1"/>
          <w:sz w:val="24"/>
          <w14:textFill>
            <w14:solidFill>
              <w14:schemeClr w14:val="tx1"/>
            </w14:solidFill>
          </w14:textFill>
        </w:rPr>
        <w:t>推进研究生新生学术道德规范教育全覆盖</w:t>
      </w:r>
      <w:r>
        <w:rPr>
          <w:rFonts w:hint="eastAsia" w:ascii="Times New Roman" w:hAnsi="Times New Roman" w:cs="宋体"/>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ascii="Times New Roman" w:hAnsi="Times New Roman" w:cs="宋体"/>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360" w:lineRule="auto"/>
        <w:ind w:firstLine="602" w:firstLineChars="200"/>
        <w:jc w:val="both"/>
        <w:textAlignment w:val="auto"/>
        <w:rPr>
          <w:rFonts w:ascii="Times New Roman" w:hAnsi="Times New Roman" w:cs="宋体"/>
          <w:b/>
          <w:color w:val="000000" w:themeColor="text1"/>
          <w:sz w:val="30"/>
          <w:szCs w:val="30"/>
          <w14:textFill>
            <w14:solidFill>
              <w14:schemeClr w14:val="tx1"/>
            </w14:solidFill>
          </w14:textFill>
        </w:rPr>
      </w:pPr>
      <w:r>
        <w:rPr>
          <w:rFonts w:ascii="Times New Roman" w:hAnsi="Times New Roman" w:cs="宋体"/>
          <w:b/>
          <w:color w:val="000000" w:themeColor="text1"/>
          <w:sz w:val="30"/>
          <w:szCs w:val="30"/>
          <w14:textFill>
            <w14:solidFill>
              <w14:schemeClr w14:val="tx1"/>
            </w14:solidFill>
          </w14:textFill>
        </w:rPr>
        <w:t>2</w:t>
      </w:r>
      <w:r>
        <w:rPr>
          <w:rFonts w:hint="eastAsia" w:ascii="Times New Roman" w:hAnsi="Times New Roman" w:cs="宋体"/>
          <w:b/>
          <w:color w:val="000000" w:themeColor="text1"/>
          <w:sz w:val="30"/>
          <w:szCs w:val="30"/>
          <w14:textFill>
            <w14:solidFill>
              <w14:schemeClr w14:val="tx1"/>
            </w14:solidFill>
          </w14:textFill>
        </w:rPr>
        <w:t>．生源情况、招生规模和结构</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ascii="Times New Roman" w:hAnsi="Times New Roman" w:cs="宋体"/>
          <w:color w:val="000000" w:themeColor="text1"/>
          <w:sz w:val="24"/>
          <w14:textFill>
            <w14:solidFill>
              <w14:schemeClr w14:val="tx1"/>
            </w14:solidFill>
          </w14:textFill>
        </w:rPr>
      </w:pPr>
      <w:r>
        <w:rPr>
          <w:rFonts w:ascii="Times New Roman" w:hAnsi="Times New Roman" w:cs="宋体"/>
          <w:color w:val="000000" w:themeColor="text1"/>
          <w:sz w:val="24"/>
          <w14:textFill>
            <w14:solidFill>
              <w14:schemeClr w14:val="tx1"/>
            </w14:solidFill>
          </w14:textFill>
        </w:rPr>
        <w:t>学科</w:t>
      </w:r>
      <w:r>
        <w:rPr>
          <w:rFonts w:hint="eastAsia" w:ascii="Times New Roman" w:hAnsi="Times New Roman" w:cs="宋体"/>
          <w:color w:val="000000" w:themeColor="text1"/>
          <w:sz w:val="24"/>
          <w14:textFill>
            <w14:solidFill>
              <w14:schemeClr w14:val="tx1"/>
            </w14:solidFill>
          </w14:textFill>
        </w:rPr>
        <w:t>学位授权点以提高生源质量为目标，创新招生选拔机制。目前我校博士研究生招生考试方式共有四种：直博生、普通招考、硕博连读、“申请-考核制”。</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both"/>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学科学位授权点2</w:t>
      </w:r>
      <w:r>
        <w:rPr>
          <w:rFonts w:ascii="Times New Roman" w:hAnsi="Times New Roman" w:cs="宋体"/>
          <w:color w:val="000000" w:themeColor="text1"/>
          <w:sz w:val="24"/>
          <w14:textFill>
            <w14:solidFill>
              <w14:schemeClr w14:val="tx1"/>
            </w14:solidFill>
          </w14:textFill>
        </w:rPr>
        <w:t>02</w:t>
      </w:r>
      <w:r>
        <w:rPr>
          <w:rFonts w:hint="eastAsia" w:ascii="Times New Roman" w:hAnsi="Times New Roman" w:cs="宋体"/>
          <w:color w:val="000000" w:themeColor="text1"/>
          <w:sz w:val="24"/>
          <w14:textFill>
            <w14:solidFill>
              <w14:schemeClr w14:val="tx1"/>
            </w14:solidFill>
          </w14:textFill>
        </w:rPr>
        <w:t>1</w:t>
      </w:r>
      <w:r>
        <w:rPr>
          <w:rFonts w:ascii="Times New Roman" w:hAnsi="Times New Roman" w:cs="宋体"/>
          <w:color w:val="000000" w:themeColor="text1"/>
          <w:sz w:val="24"/>
          <w14:textFill>
            <w14:solidFill>
              <w14:schemeClr w14:val="tx1"/>
            </w14:solidFill>
          </w14:textFill>
        </w:rPr>
        <w:t>年</w:t>
      </w:r>
      <w:r>
        <w:rPr>
          <w:rFonts w:hint="eastAsia" w:ascii="Times New Roman" w:hAnsi="Times New Roman" w:cs="宋体"/>
          <w:color w:val="000000" w:themeColor="text1"/>
          <w:sz w:val="24"/>
          <w14:textFill>
            <w14:solidFill>
              <w14:schemeClr w14:val="tx1"/>
            </w14:solidFill>
          </w14:textFill>
        </w:rPr>
        <w:t>共招收博士研究生13人，硕士研究生69人。研究生生源情况、招生规模和结构如下表：</w:t>
      </w:r>
    </w:p>
    <w:tbl>
      <w:tblPr>
        <w:tblStyle w:val="9"/>
        <w:tblW w:w="83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565"/>
        <w:gridCol w:w="1131"/>
        <w:gridCol w:w="629"/>
        <w:gridCol w:w="848"/>
        <w:gridCol w:w="2162"/>
        <w:gridCol w:w="1027"/>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2" w:leftChars="-1" w:right="-42" w:rightChars="-20"/>
              <w:jc w:val="center"/>
              <w:textAlignment w:val="auto"/>
              <w:rPr>
                <w:rFonts w:ascii="Times New Roman" w:hAnsi="Times New Roman" w:cs="宋体"/>
                <w:color w:val="000000" w:themeColor="text1"/>
                <w:szCs w:val="21"/>
                <w14:textFill>
                  <w14:solidFill>
                    <w14:schemeClr w14:val="tx1"/>
                  </w14:solidFill>
                </w14:textFill>
              </w:rPr>
            </w:pPr>
            <w:r>
              <w:rPr>
                <w:rFonts w:hint="eastAsia" w:ascii="Times New Roman" w:hAnsi="Times New Roman" w:cs="宋体"/>
                <w:color w:val="000000" w:themeColor="text1"/>
                <w:szCs w:val="21"/>
                <w14:textFill>
                  <w14:solidFill>
                    <w14:schemeClr w14:val="tx1"/>
                  </w14:solidFill>
                </w14:textFill>
              </w:rPr>
              <w:t>学生</w:t>
            </w:r>
          </w:p>
          <w:p>
            <w:pPr>
              <w:keepNext w:val="0"/>
              <w:keepLines w:val="0"/>
              <w:pageBreakBefore w:val="0"/>
              <w:widowControl w:val="0"/>
              <w:kinsoku/>
              <w:wordWrap/>
              <w:overflowPunct/>
              <w:topLinePunct w:val="0"/>
              <w:autoSpaceDE/>
              <w:autoSpaceDN/>
              <w:bidi w:val="0"/>
              <w:adjustRightInd/>
              <w:snapToGrid/>
              <w:spacing w:line="280" w:lineRule="exact"/>
              <w:ind w:left="-2" w:leftChars="-1" w:right="-42" w:rightChars="-20"/>
              <w:jc w:val="center"/>
              <w:textAlignment w:val="auto"/>
              <w:rPr>
                <w:rFonts w:ascii="Times New Roman" w:hAnsi="Times New Roman" w:cs="宋体"/>
                <w:color w:val="000000" w:themeColor="text1"/>
                <w:szCs w:val="21"/>
                <w14:textFill>
                  <w14:solidFill>
                    <w14:schemeClr w14:val="tx1"/>
                  </w14:solidFill>
                </w14:textFill>
              </w:rPr>
            </w:pPr>
            <w:r>
              <w:rPr>
                <w:rFonts w:hint="eastAsia" w:ascii="Times New Roman" w:hAnsi="Times New Roman" w:cs="宋体"/>
                <w:color w:val="000000" w:themeColor="text1"/>
                <w:szCs w:val="21"/>
                <w14:textFill>
                  <w14:solidFill>
                    <w14:schemeClr w14:val="tx1"/>
                  </w14:solidFill>
                </w14:textFill>
              </w:rPr>
              <w:t>类型</w:t>
            </w:r>
          </w:p>
        </w:tc>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2" w:leftChars="-1" w:right="-42" w:rightChars="-20"/>
              <w:jc w:val="center"/>
              <w:textAlignment w:val="auto"/>
              <w:rPr>
                <w:rFonts w:ascii="Times New Roman" w:hAnsi="Times New Roman" w:cs="宋体"/>
                <w:color w:val="000000" w:themeColor="text1"/>
                <w:szCs w:val="21"/>
                <w14:textFill>
                  <w14:solidFill>
                    <w14:schemeClr w14:val="tx1"/>
                  </w14:solidFill>
                </w14:textFill>
              </w:rPr>
            </w:pPr>
            <w:r>
              <w:rPr>
                <w:rFonts w:hint="eastAsia" w:ascii="Times New Roman" w:hAnsi="Times New Roman" w:cs="宋体"/>
                <w:color w:val="000000" w:themeColor="text1"/>
                <w:szCs w:val="21"/>
                <w14:textFill>
                  <w14:solidFill>
                    <w14:schemeClr w14:val="tx1"/>
                  </w14:solidFill>
                </w14:textFill>
              </w:rPr>
              <w:t>报名人数</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2" w:leftChars="-1" w:right="-42" w:rightChars="-20"/>
              <w:jc w:val="center"/>
              <w:textAlignment w:val="auto"/>
              <w:rPr>
                <w:rFonts w:ascii="Times New Roman" w:hAnsi="Times New Roman" w:cs="宋体"/>
                <w:color w:val="000000" w:themeColor="text1"/>
                <w:szCs w:val="21"/>
                <w14:textFill>
                  <w14:solidFill>
                    <w14:schemeClr w14:val="tx1"/>
                  </w14:solidFill>
                </w14:textFill>
              </w:rPr>
            </w:pPr>
            <w:r>
              <w:rPr>
                <w:rFonts w:hint="eastAsia" w:ascii="Times New Roman" w:hAnsi="Times New Roman" w:cs="宋体"/>
                <w:color w:val="000000" w:themeColor="text1"/>
                <w:szCs w:val="21"/>
                <w14:textFill>
                  <w14:solidFill>
                    <w14:schemeClr w14:val="tx1"/>
                  </w14:solidFill>
                </w14:textFill>
              </w:rPr>
              <w:t>实际录取人数（含推免生）</w:t>
            </w:r>
          </w:p>
        </w:tc>
        <w:tc>
          <w:tcPr>
            <w:tcW w:w="62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2" w:leftChars="-1" w:right="-42" w:rightChars="-20"/>
              <w:jc w:val="center"/>
              <w:textAlignment w:val="auto"/>
              <w:rPr>
                <w:rFonts w:ascii="Times New Roman" w:hAnsi="Times New Roman" w:cs="宋体"/>
                <w:color w:val="000000" w:themeColor="text1"/>
                <w:szCs w:val="21"/>
                <w14:textFill>
                  <w14:solidFill>
                    <w14:schemeClr w14:val="tx1"/>
                  </w14:solidFill>
                </w14:textFill>
              </w:rPr>
            </w:pPr>
            <w:r>
              <w:rPr>
                <w:rFonts w:hint="eastAsia" w:ascii="Times New Roman" w:hAnsi="Times New Roman" w:cs="宋体"/>
                <w:color w:val="000000" w:themeColor="text1"/>
                <w:szCs w:val="21"/>
                <w14:textFill>
                  <w14:solidFill>
                    <w14:schemeClr w14:val="tx1"/>
                  </w14:solidFill>
                </w14:textFill>
              </w:rPr>
              <w:t>录取推免生人数</w:t>
            </w:r>
          </w:p>
        </w:tc>
        <w:tc>
          <w:tcPr>
            <w:tcW w:w="84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2" w:leftChars="-1" w:right="-42" w:rightChars="-20"/>
              <w:jc w:val="center"/>
              <w:textAlignment w:val="auto"/>
              <w:rPr>
                <w:rFonts w:ascii="Times New Roman" w:hAnsi="Times New Roman" w:cs="宋体"/>
                <w:color w:val="000000" w:themeColor="text1"/>
                <w:szCs w:val="21"/>
                <w14:textFill>
                  <w14:solidFill>
                    <w14:schemeClr w14:val="tx1"/>
                  </w14:solidFill>
                </w14:textFill>
              </w:rPr>
            </w:pPr>
            <w:r>
              <w:rPr>
                <w:rFonts w:hint="eastAsia" w:ascii="Times New Roman" w:hAnsi="Times New Roman" w:cs="宋体"/>
                <w:color w:val="000000" w:themeColor="text1"/>
                <w:szCs w:val="21"/>
                <w14:textFill>
                  <w14:solidFill>
                    <w14:schemeClr w14:val="tx1"/>
                  </w14:solidFill>
                </w14:textFill>
              </w:rPr>
              <w:t>报录比</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2" w:leftChars="-1" w:right="-42" w:rightChars="-20"/>
              <w:jc w:val="center"/>
              <w:textAlignment w:val="auto"/>
              <w:rPr>
                <w:rFonts w:ascii="Times New Roman" w:hAnsi="Times New Roman" w:cs="宋体"/>
                <w:color w:val="000000" w:themeColor="text1"/>
                <w:szCs w:val="21"/>
                <w14:textFill>
                  <w14:solidFill>
                    <w14:schemeClr w14:val="tx1"/>
                  </w14:solidFill>
                </w14:textFill>
              </w:rPr>
            </w:pPr>
            <w:r>
              <w:rPr>
                <w:rFonts w:hint="eastAsia" w:ascii="Times New Roman" w:hAnsi="Times New Roman" w:cs="宋体"/>
                <w:color w:val="000000" w:themeColor="text1"/>
                <w:szCs w:val="21"/>
                <w14:textFill>
                  <w14:solidFill>
                    <w14:schemeClr w14:val="tx1"/>
                  </w14:solidFill>
                </w14:textFill>
              </w:rPr>
              <w:t>各二级学科方向实际录取人数</w:t>
            </w:r>
          </w:p>
        </w:tc>
        <w:tc>
          <w:tcPr>
            <w:tcW w:w="1027"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2" w:leftChars="-1" w:right="-42" w:rightChars="-20"/>
              <w:jc w:val="center"/>
              <w:textAlignment w:val="auto"/>
              <w:rPr>
                <w:rFonts w:ascii="Times New Roman" w:hAnsi="Times New Roman" w:cs="宋体"/>
                <w:color w:val="000000" w:themeColor="text1"/>
                <w:szCs w:val="21"/>
                <w14:textFill>
                  <w14:solidFill>
                    <w14:schemeClr w14:val="tx1"/>
                  </w14:solidFill>
                </w14:textFill>
              </w:rPr>
            </w:pPr>
            <w:r>
              <w:rPr>
                <w:rFonts w:hint="eastAsia" w:ascii="Times New Roman" w:hAnsi="Times New Roman" w:cs="宋体"/>
                <w:color w:val="000000" w:themeColor="text1"/>
                <w:szCs w:val="21"/>
                <w14:textFill>
                  <w14:solidFill>
                    <w14:schemeClr w14:val="tx1"/>
                  </w14:solidFill>
                </w14:textFill>
              </w:rPr>
              <w:t>录取考生中毕业于一本院校人数占比</w:t>
            </w:r>
          </w:p>
        </w:tc>
        <w:tc>
          <w:tcPr>
            <w:tcW w:w="127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2" w:leftChars="-1" w:right="-42" w:rightChars="-20"/>
              <w:jc w:val="center"/>
              <w:textAlignment w:val="auto"/>
              <w:rPr>
                <w:rFonts w:ascii="Times New Roman" w:hAnsi="Times New Roman" w:cs="宋体"/>
                <w:color w:val="000000" w:themeColor="text1"/>
                <w:szCs w:val="21"/>
                <w14:textFill>
                  <w14:solidFill>
                    <w14:schemeClr w14:val="tx1"/>
                  </w14:solidFill>
                </w14:textFill>
              </w:rPr>
            </w:pPr>
            <w:r>
              <w:rPr>
                <w:rFonts w:hint="eastAsia" w:ascii="Times New Roman" w:hAnsi="Times New Roman" w:cs="宋体"/>
                <w:color w:val="000000" w:themeColor="text1"/>
                <w:szCs w:val="21"/>
                <w14:textFill>
                  <w14:solidFill>
                    <w14:schemeClr w14:val="tx1"/>
                  </w14:solidFill>
                </w14:textFill>
              </w:rPr>
              <w:t>录取考生来自省内、省外所占比例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2" w:leftChars="-1" w:right="-42" w:rightChars="-20"/>
              <w:jc w:val="center"/>
              <w:textAlignment w:val="auto"/>
              <w:rPr>
                <w:rFonts w:ascii="Times New Roman" w:hAnsi="Times New Roman" w:cs="宋体"/>
                <w:color w:val="000000" w:themeColor="text1"/>
                <w:szCs w:val="21"/>
                <w14:textFill>
                  <w14:solidFill>
                    <w14:schemeClr w14:val="tx1"/>
                  </w14:solidFill>
                </w14:textFill>
              </w:rPr>
            </w:pPr>
            <w:r>
              <w:rPr>
                <w:rFonts w:hint="eastAsia" w:ascii="Times New Roman" w:hAnsi="Times New Roman" w:cs="宋体"/>
                <w:color w:val="000000" w:themeColor="text1"/>
                <w:szCs w:val="21"/>
                <w14:textFill>
                  <w14:solidFill>
                    <w14:schemeClr w14:val="tx1"/>
                  </w14:solidFill>
                </w14:textFill>
              </w:rPr>
              <w:t>博士研究生</w:t>
            </w:r>
          </w:p>
        </w:tc>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2" w:leftChars="-1" w:right="-42" w:rightChars="-20"/>
              <w:jc w:val="center"/>
              <w:textAlignment w:val="auto"/>
              <w:rPr>
                <w:rFonts w:ascii="Times New Roman" w:hAnsi="Times New Roman" w:cs="宋体"/>
                <w:color w:val="FF0000"/>
                <w:szCs w:val="21"/>
              </w:rPr>
            </w:pPr>
            <w:r>
              <w:rPr>
                <w:rFonts w:hint="eastAsia" w:ascii="Times New Roman" w:hAnsi="Times New Roman" w:cs="宋体"/>
                <w:color w:val="000000" w:themeColor="text1"/>
                <w:szCs w:val="21"/>
                <w14:textFill>
                  <w14:solidFill>
                    <w14:schemeClr w14:val="tx1"/>
                  </w14:solidFill>
                </w14:textFill>
              </w:rPr>
              <w:t>1</w:t>
            </w:r>
            <w:r>
              <w:rPr>
                <w:rFonts w:ascii="Times New Roman" w:hAnsi="Times New Roman" w:cs="宋体"/>
                <w:color w:val="000000" w:themeColor="text1"/>
                <w:szCs w:val="21"/>
                <w14:textFill>
                  <w14:solidFill>
                    <w14:schemeClr w14:val="tx1"/>
                  </w14:solidFill>
                </w14:textFill>
              </w:rPr>
              <w:t>5</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2" w:leftChars="-1" w:right="-42" w:rightChars="-20"/>
              <w:jc w:val="center"/>
              <w:textAlignment w:val="auto"/>
              <w:rPr>
                <w:rFonts w:ascii="Times New Roman" w:hAnsi="Times New Roman" w:cs="宋体"/>
                <w:color w:val="FF0000"/>
                <w:szCs w:val="21"/>
              </w:rPr>
            </w:pPr>
            <w:r>
              <w:rPr>
                <w:rFonts w:hint="eastAsia" w:ascii="Times New Roman" w:hAnsi="Times New Roman" w:cs="宋体"/>
                <w:color w:val="000000" w:themeColor="text1"/>
                <w:szCs w:val="21"/>
                <w14:textFill>
                  <w14:solidFill>
                    <w14:schemeClr w14:val="tx1"/>
                  </w14:solidFill>
                </w14:textFill>
              </w:rPr>
              <w:t>13（硕博连读4人，申请考核7人）</w:t>
            </w:r>
          </w:p>
        </w:tc>
        <w:tc>
          <w:tcPr>
            <w:tcW w:w="62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2" w:leftChars="-1" w:right="-42" w:rightChars="-20"/>
              <w:jc w:val="center"/>
              <w:textAlignment w:val="auto"/>
              <w:rPr>
                <w:rFonts w:ascii="Times New Roman" w:hAnsi="Times New Roman" w:cs="宋体"/>
                <w:color w:val="FF0000"/>
                <w:szCs w:val="21"/>
              </w:rPr>
            </w:pPr>
          </w:p>
        </w:tc>
        <w:tc>
          <w:tcPr>
            <w:tcW w:w="84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2" w:leftChars="-1" w:right="-42" w:rightChars="-20"/>
              <w:jc w:val="center"/>
              <w:textAlignment w:val="auto"/>
              <w:rPr>
                <w:rFonts w:ascii="Times New Roman" w:hAnsi="Times New Roman" w:cs="宋体"/>
                <w:color w:val="FF0000"/>
                <w:szCs w:val="21"/>
              </w:rPr>
            </w:pPr>
            <w:r>
              <w:rPr>
                <w:rFonts w:hint="eastAsia" w:ascii="Times New Roman" w:hAnsi="Times New Roman" w:cs="宋体"/>
                <w:color w:val="000000" w:themeColor="text1"/>
                <w:szCs w:val="21"/>
                <w14:textFill>
                  <w14:solidFill>
                    <w14:schemeClr w14:val="tx1"/>
                  </w14:solidFill>
                </w14:textFill>
              </w:rPr>
              <w:t>86.7%</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2" w:leftChars="-1" w:right="-42" w:rightChars="-20"/>
              <w:jc w:val="center"/>
              <w:textAlignment w:val="auto"/>
              <w:rPr>
                <w:rFonts w:ascii="Times New Roman" w:hAnsi="Times New Roman" w:cs="宋体"/>
                <w:color w:val="000000" w:themeColor="text1"/>
                <w:szCs w:val="21"/>
                <w14:textFill>
                  <w14:solidFill>
                    <w14:schemeClr w14:val="tx1"/>
                  </w14:solidFill>
                </w14:textFill>
              </w:rPr>
            </w:pPr>
            <w:r>
              <w:rPr>
                <w:rFonts w:hint="eastAsia" w:ascii="Times New Roman" w:hAnsi="Times New Roman" w:cs="宋体"/>
                <w:color w:val="000000" w:themeColor="text1"/>
                <w:szCs w:val="21"/>
                <w14:textFill>
                  <w14:solidFill>
                    <w14:schemeClr w14:val="tx1"/>
                  </w14:solidFill>
                </w14:textFill>
              </w:rPr>
              <w:t>基础数学-4</w:t>
            </w:r>
            <w:r>
              <w:rPr>
                <w:rFonts w:ascii="Times New Roman" w:hAnsi="Times New Roman" w:cs="宋体"/>
                <w:color w:val="000000" w:themeColor="text1"/>
                <w:szCs w:val="21"/>
                <w14:textFill>
                  <w14:solidFill>
                    <w14:schemeClr w14:val="tx1"/>
                  </w14:solidFill>
                </w14:textFill>
              </w:rPr>
              <w:t>人</w:t>
            </w:r>
          </w:p>
          <w:p>
            <w:pPr>
              <w:keepNext w:val="0"/>
              <w:keepLines w:val="0"/>
              <w:pageBreakBefore w:val="0"/>
              <w:widowControl w:val="0"/>
              <w:kinsoku/>
              <w:wordWrap/>
              <w:overflowPunct/>
              <w:topLinePunct w:val="0"/>
              <w:autoSpaceDE/>
              <w:autoSpaceDN/>
              <w:bidi w:val="0"/>
              <w:adjustRightInd/>
              <w:snapToGrid/>
              <w:spacing w:line="280" w:lineRule="exact"/>
              <w:ind w:left="-2" w:leftChars="-1" w:right="-42" w:rightChars="-20"/>
              <w:jc w:val="center"/>
              <w:textAlignment w:val="auto"/>
              <w:rPr>
                <w:rFonts w:ascii="Times New Roman" w:hAnsi="Times New Roman" w:cs="宋体"/>
                <w:color w:val="000000" w:themeColor="text1"/>
                <w:szCs w:val="21"/>
                <w14:textFill>
                  <w14:solidFill>
                    <w14:schemeClr w14:val="tx1"/>
                  </w14:solidFill>
                </w14:textFill>
              </w:rPr>
            </w:pPr>
            <w:r>
              <w:rPr>
                <w:rFonts w:hint="eastAsia" w:ascii="Times New Roman" w:hAnsi="Times New Roman" w:cs="宋体"/>
                <w:color w:val="000000" w:themeColor="text1"/>
                <w:szCs w:val="21"/>
                <w14:textFill>
                  <w14:solidFill>
                    <w14:schemeClr w14:val="tx1"/>
                  </w14:solidFill>
                </w14:textFill>
              </w:rPr>
              <w:t>计算数学-6</w:t>
            </w:r>
            <w:r>
              <w:rPr>
                <w:rFonts w:ascii="Times New Roman" w:hAnsi="Times New Roman" w:cs="宋体"/>
                <w:color w:val="000000" w:themeColor="text1"/>
                <w:szCs w:val="21"/>
                <w14:textFill>
                  <w14:solidFill>
                    <w14:schemeClr w14:val="tx1"/>
                  </w14:solidFill>
                </w14:textFill>
              </w:rPr>
              <w:t>人</w:t>
            </w:r>
          </w:p>
          <w:p>
            <w:pPr>
              <w:keepNext w:val="0"/>
              <w:keepLines w:val="0"/>
              <w:pageBreakBefore w:val="0"/>
              <w:widowControl w:val="0"/>
              <w:kinsoku/>
              <w:wordWrap/>
              <w:overflowPunct/>
              <w:topLinePunct w:val="0"/>
              <w:autoSpaceDE/>
              <w:autoSpaceDN/>
              <w:bidi w:val="0"/>
              <w:adjustRightInd/>
              <w:snapToGrid/>
              <w:spacing w:line="280" w:lineRule="exact"/>
              <w:ind w:left="-2" w:leftChars="-1" w:right="-42" w:rightChars="-20"/>
              <w:jc w:val="center"/>
              <w:textAlignment w:val="auto"/>
              <w:rPr>
                <w:rFonts w:ascii="Times New Roman" w:hAnsi="Times New Roman" w:cs="宋体"/>
                <w:color w:val="000000" w:themeColor="text1"/>
                <w:szCs w:val="21"/>
                <w14:textFill>
                  <w14:solidFill>
                    <w14:schemeClr w14:val="tx1"/>
                  </w14:solidFill>
                </w14:textFill>
              </w:rPr>
            </w:pPr>
            <w:r>
              <w:rPr>
                <w:rFonts w:ascii="Times New Roman" w:hAnsi="Times New Roman" w:cs="宋体"/>
                <w:color w:val="000000" w:themeColor="text1"/>
                <w:szCs w:val="21"/>
                <w14:textFill>
                  <w14:solidFill>
                    <w14:schemeClr w14:val="tx1"/>
                  </w14:solidFill>
                </w14:textFill>
              </w:rPr>
              <w:t>应用数学</w:t>
            </w:r>
            <w:r>
              <w:rPr>
                <w:rFonts w:hint="eastAsia" w:ascii="Times New Roman" w:hAnsi="Times New Roman" w:cs="宋体"/>
                <w:color w:val="000000" w:themeColor="text1"/>
                <w:szCs w:val="21"/>
                <w14:textFill>
                  <w14:solidFill>
                    <w14:schemeClr w14:val="tx1"/>
                  </w14:solidFill>
                </w14:textFill>
              </w:rPr>
              <w:t>-2</w:t>
            </w:r>
            <w:r>
              <w:rPr>
                <w:rFonts w:ascii="Times New Roman" w:hAnsi="Times New Roman" w:cs="宋体"/>
                <w:color w:val="000000" w:themeColor="text1"/>
                <w:szCs w:val="21"/>
                <w14:textFill>
                  <w14:solidFill>
                    <w14:schemeClr w14:val="tx1"/>
                  </w14:solidFill>
                </w14:textFill>
              </w:rPr>
              <w:t>人</w:t>
            </w:r>
          </w:p>
          <w:p>
            <w:pPr>
              <w:keepNext w:val="0"/>
              <w:keepLines w:val="0"/>
              <w:pageBreakBefore w:val="0"/>
              <w:widowControl w:val="0"/>
              <w:kinsoku/>
              <w:wordWrap/>
              <w:overflowPunct/>
              <w:topLinePunct w:val="0"/>
              <w:autoSpaceDE/>
              <w:autoSpaceDN/>
              <w:bidi w:val="0"/>
              <w:adjustRightInd/>
              <w:snapToGrid/>
              <w:spacing w:line="280" w:lineRule="exact"/>
              <w:ind w:left="-2" w:leftChars="-1" w:right="-42" w:rightChars="-20"/>
              <w:jc w:val="center"/>
              <w:textAlignment w:val="auto"/>
              <w:rPr>
                <w:rFonts w:ascii="Times New Roman" w:hAnsi="Times New Roman" w:cs="宋体"/>
                <w:color w:val="FF0000"/>
                <w:szCs w:val="21"/>
              </w:rPr>
            </w:pPr>
            <w:r>
              <w:rPr>
                <w:rFonts w:ascii="Times New Roman" w:hAnsi="Times New Roman" w:cs="宋体"/>
                <w:color w:val="000000" w:themeColor="text1"/>
                <w:szCs w:val="21"/>
                <w14:textFill>
                  <w14:solidFill>
                    <w14:schemeClr w14:val="tx1"/>
                  </w14:solidFill>
                </w14:textFill>
              </w:rPr>
              <w:t>运筹学与控制论</w:t>
            </w:r>
            <w:r>
              <w:rPr>
                <w:rFonts w:hint="eastAsia" w:ascii="Times New Roman" w:hAnsi="Times New Roman" w:cs="宋体"/>
                <w:color w:val="000000" w:themeColor="text1"/>
                <w:szCs w:val="21"/>
                <w14:textFill>
                  <w14:solidFill>
                    <w14:schemeClr w14:val="tx1"/>
                  </w14:solidFill>
                </w14:textFill>
              </w:rPr>
              <w:t>-1</w:t>
            </w:r>
            <w:r>
              <w:rPr>
                <w:rFonts w:ascii="Times New Roman" w:hAnsi="Times New Roman" w:cs="宋体"/>
                <w:color w:val="000000" w:themeColor="text1"/>
                <w:szCs w:val="21"/>
                <w14:textFill>
                  <w14:solidFill>
                    <w14:schemeClr w14:val="tx1"/>
                  </w14:solidFill>
                </w14:textFill>
              </w:rPr>
              <w:t>人</w:t>
            </w:r>
          </w:p>
        </w:tc>
        <w:tc>
          <w:tcPr>
            <w:tcW w:w="1027"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42" w:rightChars="-20"/>
              <w:jc w:val="center"/>
              <w:textAlignment w:val="auto"/>
              <w:rPr>
                <w:rFonts w:ascii="Times New Roman" w:hAnsi="Times New Roman" w:cs="宋体"/>
                <w:color w:val="FF0000"/>
                <w:szCs w:val="21"/>
              </w:rPr>
            </w:pPr>
            <w:r>
              <w:rPr>
                <w:rFonts w:hint="eastAsia" w:ascii="Times New Roman" w:hAnsi="Times New Roman" w:cs="宋体"/>
                <w:color w:val="000000" w:themeColor="text1"/>
                <w:szCs w:val="21"/>
                <w14:textFill>
                  <w14:solidFill>
                    <w14:schemeClr w14:val="tx1"/>
                  </w14:solidFill>
                </w14:textFill>
              </w:rPr>
              <w:t>100%</w:t>
            </w:r>
          </w:p>
        </w:tc>
        <w:tc>
          <w:tcPr>
            <w:tcW w:w="127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2" w:leftChars="-1" w:right="-42" w:rightChars="-20"/>
              <w:jc w:val="center"/>
              <w:textAlignment w:val="auto"/>
              <w:rPr>
                <w:rFonts w:ascii="Times New Roman" w:hAnsi="Times New Roman" w:cs="宋体"/>
                <w:color w:val="000000" w:themeColor="text1"/>
                <w:szCs w:val="21"/>
                <w14:textFill>
                  <w14:solidFill>
                    <w14:schemeClr w14:val="tx1"/>
                  </w14:solidFill>
                </w14:textFill>
              </w:rPr>
            </w:pPr>
            <w:r>
              <w:rPr>
                <w:rFonts w:ascii="Times New Roman" w:hAnsi="Times New Roman" w:cs="宋体"/>
                <w:color w:val="000000" w:themeColor="text1"/>
                <w:szCs w:val="21"/>
                <w14:textFill>
                  <w14:solidFill>
                    <w14:schemeClr w14:val="tx1"/>
                  </w14:solidFill>
                </w14:textFill>
              </w:rPr>
              <w:t>省内</w:t>
            </w:r>
            <w:r>
              <w:rPr>
                <w:rFonts w:hint="eastAsia" w:ascii="Times New Roman" w:hAnsi="Times New Roman" w:cs="宋体"/>
                <w:color w:val="000000" w:themeColor="text1"/>
                <w:szCs w:val="21"/>
                <w14:textFill>
                  <w14:solidFill>
                    <w14:schemeClr w14:val="tx1"/>
                  </w14:solidFill>
                </w14:textFill>
              </w:rPr>
              <w:t>69.2%</w:t>
            </w:r>
          </w:p>
          <w:p>
            <w:pPr>
              <w:keepNext w:val="0"/>
              <w:keepLines w:val="0"/>
              <w:pageBreakBefore w:val="0"/>
              <w:widowControl w:val="0"/>
              <w:kinsoku/>
              <w:wordWrap/>
              <w:overflowPunct/>
              <w:topLinePunct w:val="0"/>
              <w:autoSpaceDE/>
              <w:autoSpaceDN/>
              <w:bidi w:val="0"/>
              <w:adjustRightInd/>
              <w:snapToGrid/>
              <w:spacing w:line="280" w:lineRule="exact"/>
              <w:ind w:left="-2" w:leftChars="-1" w:right="-42" w:rightChars="-20"/>
              <w:jc w:val="center"/>
              <w:textAlignment w:val="auto"/>
              <w:rPr>
                <w:rFonts w:ascii="Times New Roman" w:hAnsi="Times New Roman" w:cs="宋体"/>
                <w:color w:val="FF0000"/>
                <w:szCs w:val="21"/>
              </w:rPr>
            </w:pPr>
            <w:r>
              <w:rPr>
                <w:rFonts w:ascii="Times New Roman" w:hAnsi="Times New Roman" w:cs="宋体"/>
                <w:color w:val="000000" w:themeColor="text1"/>
                <w:szCs w:val="21"/>
                <w14:textFill>
                  <w14:solidFill>
                    <w14:schemeClr w14:val="tx1"/>
                  </w14:solidFill>
                </w14:textFill>
              </w:rPr>
              <w:t>省外</w:t>
            </w:r>
            <w:r>
              <w:rPr>
                <w:rFonts w:hint="eastAsia" w:ascii="Times New Roman" w:hAnsi="Times New Roman" w:cs="宋体"/>
                <w:color w:val="000000" w:themeColor="text1"/>
                <w:szCs w:val="21"/>
                <w14:textFill>
                  <w14:solidFill>
                    <w14:schemeClr w14:val="tx1"/>
                  </w14:solidFill>
                </w14:textFill>
              </w:rPr>
              <w:t>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trPr>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2" w:leftChars="-1" w:right="-42" w:rightChars="-20"/>
              <w:jc w:val="center"/>
              <w:textAlignment w:val="auto"/>
              <w:rPr>
                <w:rFonts w:ascii="Times New Roman" w:hAnsi="Times New Roman" w:cs="宋体"/>
                <w:color w:val="000000" w:themeColor="text1"/>
                <w:szCs w:val="21"/>
                <w14:textFill>
                  <w14:solidFill>
                    <w14:schemeClr w14:val="tx1"/>
                  </w14:solidFill>
                </w14:textFill>
              </w:rPr>
            </w:pPr>
            <w:r>
              <w:rPr>
                <w:rFonts w:hint="eastAsia" w:ascii="Times New Roman" w:hAnsi="Times New Roman" w:cs="宋体"/>
                <w:color w:val="000000" w:themeColor="text1"/>
                <w:szCs w:val="21"/>
                <w14:textFill>
                  <w14:solidFill>
                    <w14:schemeClr w14:val="tx1"/>
                  </w14:solidFill>
                </w14:textFill>
              </w:rPr>
              <w:t>硕士研究生</w:t>
            </w:r>
          </w:p>
        </w:tc>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2" w:leftChars="-1" w:right="-42" w:rightChars="-20"/>
              <w:jc w:val="center"/>
              <w:textAlignment w:val="auto"/>
              <w:rPr>
                <w:rFonts w:ascii="Times New Roman" w:hAnsi="Times New Roman" w:cs="宋体"/>
                <w:color w:val="FF0000"/>
                <w:szCs w:val="21"/>
              </w:rPr>
            </w:pPr>
            <w:r>
              <w:rPr>
                <w:rFonts w:hint="eastAsia" w:ascii="Times New Roman" w:hAnsi="Times New Roman" w:cs="宋体"/>
                <w:color w:val="000000" w:themeColor="text1"/>
                <w:szCs w:val="21"/>
                <w14:textFill>
                  <w14:solidFill>
                    <w14:schemeClr w14:val="tx1"/>
                  </w14:solidFill>
                </w14:textFill>
              </w:rPr>
              <w:t>492</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2" w:leftChars="-1" w:right="-42" w:rightChars="-20" w:firstLine="210" w:firstLineChars="100"/>
              <w:jc w:val="center"/>
              <w:textAlignment w:val="auto"/>
              <w:rPr>
                <w:rFonts w:ascii="Times New Roman" w:hAnsi="Times New Roman" w:cs="宋体"/>
                <w:color w:val="000000" w:themeColor="text1"/>
                <w:szCs w:val="21"/>
                <w14:textFill>
                  <w14:solidFill>
                    <w14:schemeClr w14:val="tx1"/>
                  </w14:solidFill>
                </w14:textFill>
              </w:rPr>
            </w:pPr>
            <w:r>
              <w:rPr>
                <w:rFonts w:hint="eastAsia" w:ascii="Times New Roman" w:hAnsi="Times New Roman" w:cs="宋体"/>
                <w:color w:val="000000" w:themeColor="text1"/>
                <w:szCs w:val="21"/>
                <w14:textFill>
                  <w14:solidFill>
                    <w14:schemeClr w14:val="tx1"/>
                  </w14:solidFill>
                </w14:textFill>
              </w:rPr>
              <w:t>69</w:t>
            </w:r>
          </w:p>
        </w:tc>
        <w:tc>
          <w:tcPr>
            <w:tcW w:w="62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2" w:leftChars="-1" w:right="-42" w:rightChars="-20" w:firstLine="210" w:firstLineChars="100"/>
              <w:jc w:val="center"/>
              <w:textAlignment w:val="auto"/>
              <w:rPr>
                <w:rFonts w:ascii="Times New Roman" w:hAnsi="Times New Roman" w:cs="宋体"/>
                <w:color w:val="000000" w:themeColor="text1"/>
                <w:szCs w:val="21"/>
                <w14:textFill>
                  <w14:solidFill>
                    <w14:schemeClr w14:val="tx1"/>
                  </w14:solidFill>
                </w14:textFill>
              </w:rPr>
            </w:pPr>
            <w:r>
              <w:rPr>
                <w:rFonts w:ascii="Times New Roman" w:hAnsi="Times New Roman" w:cs="宋体"/>
                <w:color w:val="000000" w:themeColor="text1"/>
                <w:szCs w:val="21"/>
                <w14:textFill>
                  <w14:solidFill>
                    <w14:schemeClr w14:val="tx1"/>
                  </w14:solidFill>
                </w14:textFill>
              </w:rPr>
              <w:t>4</w:t>
            </w:r>
          </w:p>
        </w:tc>
        <w:tc>
          <w:tcPr>
            <w:tcW w:w="84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2" w:leftChars="-1" w:right="-42" w:rightChars="-20"/>
              <w:jc w:val="center"/>
              <w:textAlignment w:val="auto"/>
              <w:rPr>
                <w:rFonts w:ascii="Times New Roman" w:hAnsi="Times New Roman" w:cs="宋体"/>
                <w:color w:val="FF0000"/>
                <w:szCs w:val="21"/>
              </w:rPr>
            </w:pPr>
            <w:r>
              <w:rPr>
                <w:rFonts w:ascii="Times New Roman" w:hAnsi="Times New Roman" w:cs="宋体"/>
                <w:color w:val="000000" w:themeColor="text1"/>
                <w:szCs w:val="21"/>
                <w14:textFill>
                  <w14:solidFill>
                    <w14:schemeClr w14:val="tx1"/>
                  </w14:solidFill>
                </w14:textFill>
              </w:rPr>
              <w:t>1</w:t>
            </w:r>
            <w:r>
              <w:rPr>
                <w:rFonts w:hint="eastAsia" w:ascii="Times New Roman" w:hAnsi="Times New Roman" w:cs="宋体"/>
                <w:color w:val="000000" w:themeColor="text1"/>
                <w:szCs w:val="21"/>
                <w14:textFill>
                  <w14:solidFill>
                    <w14:schemeClr w14:val="tx1"/>
                  </w14:solidFill>
                </w14:textFill>
              </w:rPr>
              <w:t>3.2%</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2" w:leftChars="-1" w:right="-42" w:rightChars="-20"/>
              <w:jc w:val="center"/>
              <w:textAlignment w:val="auto"/>
              <w:rPr>
                <w:rFonts w:ascii="Times New Roman" w:hAnsi="Times New Roman" w:cs="宋体"/>
                <w:color w:val="000000" w:themeColor="text1"/>
                <w:szCs w:val="21"/>
                <w14:textFill>
                  <w14:solidFill>
                    <w14:schemeClr w14:val="tx1"/>
                  </w14:solidFill>
                </w14:textFill>
              </w:rPr>
            </w:pPr>
            <w:r>
              <w:rPr>
                <w:rFonts w:hint="eastAsia" w:ascii="Times New Roman" w:hAnsi="Times New Roman" w:cs="宋体"/>
                <w:color w:val="000000" w:themeColor="text1"/>
                <w:szCs w:val="21"/>
                <w14:textFill>
                  <w14:solidFill>
                    <w14:schemeClr w14:val="tx1"/>
                  </w14:solidFill>
                </w14:textFill>
              </w:rPr>
              <w:t>基础数学-</w:t>
            </w:r>
            <w:r>
              <w:rPr>
                <w:rFonts w:ascii="Times New Roman" w:hAnsi="Times New Roman" w:cs="宋体"/>
                <w:color w:val="000000" w:themeColor="text1"/>
                <w:szCs w:val="21"/>
                <w14:textFill>
                  <w14:solidFill>
                    <w14:schemeClr w14:val="tx1"/>
                  </w14:solidFill>
                </w14:textFill>
              </w:rPr>
              <w:t>2</w:t>
            </w:r>
            <w:r>
              <w:rPr>
                <w:rFonts w:hint="eastAsia" w:ascii="Times New Roman" w:hAnsi="Times New Roman" w:cs="宋体"/>
                <w:color w:val="000000" w:themeColor="text1"/>
                <w:szCs w:val="21"/>
                <w14:textFill>
                  <w14:solidFill>
                    <w14:schemeClr w14:val="tx1"/>
                  </w14:solidFill>
                </w14:textFill>
              </w:rPr>
              <w:t>3</w:t>
            </w:r>
            <w:r>
              <w:rPr>
                <w:rFonts w:ascii="Times New Roman" w:hAnsi="Times New Roman" w:cs="宋体"/>
                <w:color w:val="000000" w:themeColor="text1"/>
                <w:szCs w:val="21"/>
                <w14:textFill>
                  <w14:solidFill>
                    <w14:schemeClr w14:val="tx1"/>
                  </w14:solidFill>
                </w14:textFill>
              </w:rPr>
              <w:t>人</w:t>
            </w:r>
          </w:p>
          <w:p>
            <w:pPr>
              <w:keepNext w:val="0"/>
              <w:keepLines w:val="0"/>
              <w:pageBreakBefore w:val="0"/>
              <w:widowControl w:val="0"/>
              <w:kinsoku/>
              <w:wordWrap/>
              <w:overflowPunct/>
              <w:topLinePunct w:val="0"/>
              <w:autoSpaceDE/>
              <w:autoSpaceDN/>
              <w:bidi w:val="0"/>
              <w:adjustRightInd/>
              <w:snapToGrid/>
              <w:spacing w:line="280" w:lineRule="exact"/>
              <w:ind w:left="-2" w:leftChars="-1" w:right="-42" w:rightChars="-20"/>
              <w:jc w:val="center"/>
              <w:textAlignment w:val="auto"/>
              <w:rPr>
                <w:rFonts w:ascii="Times New Roman" w:hAnsi="Times New Roman" w:cs="宋体"/>
                <w:color w:val="000000" w:themeColor="text1"/>
                <w:szCs w:val="21"/>
                <w14:textFill>
                  <w14:solidFill>
                    <w14:schemeClr w14:val="tx1"/>
                  </w14:solidFill>
                </w14:textFill>
              </w:rPr>
            </w:pPr>
            <w:r>
              <w:rPr>
                <w:rFonts w:ascii="Times New Roman" w:hAnsi="Times New Roman" w:cs="宋体"/>
                <w:color w:val="000000" w:themeColor="text1"/>
                <w:szCs w:val="21"/>
                <w14:textFill>
                  <w14:solidFill>
                    <w14:schemeClr w14:val="tx1"/>
                  </w14:solidFill>
                </w14:textFill>
              </w:rPr>
              <w:t>计算数学</w:t>
            </w:r>
            <w:r>
              <w:rPr>
                <w:rFonts w:hint="eastAsia" w:ascii="Times New Roman" w:hAnsi="Times New Roman" w:cs="宋体"/>
                <w:color w:val="000000" w:themeColor="text1"/>
                <w:szCs w:val="21"/>
                <w14:textFill>
                  <w14:solidFill>
                    <w14:schemeClr w14:val="tx1"/>
                  </w14:solidFill>
                </w14:textFill>
              </w:rPr>
              <w:t>-18</w:t>
            </w:r>
            <w:r>
              <w:rPr>
                <w:rFonts w:ascii="Times New Roman" w:hAnsi="Times New Roman" w:cs="宋体"/>
                <w:color w:val="000000" w:themeColor="text1"/>
                <w:szCs w:val="21"/>
                <w14:textFill>
                  <w14:solidFill>
                    <w14:schemeClr w14:val="tx1"/>
                  </w14:solidFill>
                </w14:textFill>
              </w:rPr>
              <w:t>人</w:t>
            </w:r>
          </w:p>
          <w:p>
            <w:pPr>
              <w:keepNext w:val="0"/>
              <w:keepLines w:val="0"/>
              <w:pageBreakBefore w:val="0"/>
              <w:widowControl w:val="0"/>
              <w:kinsoku/>
              <w:wordWrap/>
              <w:overflowPunct/>
              <w:topLinePunct w:val="0"/>
              <w:autoSpaceDE/>
              <w:autoSpaceDN/>
              <w:bidi w:val="0"/>
              <w:adjustRightInd/>
              <w:snapToGrid/>
              <w:spacing w:line="280" w:lineRule="exact"/>
              <w:ind w:left="-2" w:leftChars="-1" w:right="-42" w:rightChars="-20"/>
              <w:jc w:val="center"/>
              <w:textAlignment w:val="auto"/>
              <w:rPr>
                <w:rFonts w:ascii="Times New Roman" w:hAnsi="Times New Roman" w:cs="宋体"/>
                <w:color w:val="000000" w:themeColor="text1"/>
                <w:szCs w:val="21"/>
                <w14:textFill>
                  <w14:solidFill>
                    <w14:schemeClr w14:val="tx1"/>
                  </w14:solidFill>
                </w14:textFill>
              </w:rPr>
            </w:pPr>
            <w:r>
              <w:rPr>
                <w:rFonts w:ascii="Times New Roman" w:hAnsi="Times New Roman" w:cs="宋体"/>
                <w:color w:val="000000" w:themeColor="text1"/>
                <w:szCs w:val="21"/>
                <w14:textFill>
                  <w14:solidFill>
                    <w14:schemeClr w14:val="tx1"/>
                  </w14:solidFill>
                </w14:textFill>
              </w:rPr>
              <w:t>概率论与数理统计</w:t>
            </w:r>
            <w:r>
              <w:rPr>
                <w:rFonts w:hint="eastAsia" w:ascii="Times New Roman" w:hAnsi="Times New Roman" w:cs="宋体"/>
                <w:color w:val="000000" w:themeColor="text1"/>
                <w:szCs w:val="21"/>
                <w14:textFill>
                  <w14:solidFill>
                    <w14:schemeClr w14:val="tx1"/>
                  </w14:solidFill>
                </w14:textFill>
              </w:rPr>
              <w:t>-7</w:t>
            </w:r>
            <w:r>
              <w:rPr>
                <w:rFonts w:ascii="Times New Roman" w:hAnsi="Times New Roman" w:cs="宋体"/>
                <w:color w:val="000000" w:themeColor="text1"/>
                <w:szCs w:val="21"/>
                <w14:textFill>
                  <w14:solidFill>
                    <w14:schemeClr w14:val="tx1"/>
                  </w14:solidFill>
                </w14:textFill>
              </w:rPr>
              <w:t>人</w:t>
            </w:r>
          </w:p>
          <w:p>
            <w:pPr>
              <w:keepNext w:val="0"/>
              <w:keepLines w:val="0"/>
              <w:pageBreakBefore w:val="0"/>
              <w:widowControl w:val="0"/>
              <w:kinsoku/>
              <w:wordWrap/>
              <w:overflowPunct/>
              <w:topLinePunct w:val="0"/>
              <w:autoSpaceDE/>
              <w:autoSpaceDN/>
              <w:bidi w:val="0"/>
              <w:adjustRightInd/>
              <w:snapToGrid/>
              <w:spacing w:line="280" w:lineRule="exact"/>
              <w:ind w:left="-2" w:leftChars="-1" w:right="-42" w:rightChars="-20"/>
              <w:jc w:val="center"/>
              <w:textAlignment w:val="auto"/>
              <w:rPr>
                <w:rFonts w:ascii="Times New Roman" w:hAnsi="Times New Roman" w:cs="宋体"/>
                <w:color w:val="000000" w:themeColor="text1"/>
                <w:szCs w:val="21"/>
                <w14:textFill>
                  <w14:solidFill>
                    <w14:schemeClr w14:val="tx1"/>
                  </w14:solidFill>
                </w14:textFill>
              </w:rPr>
            </w:pPr>
            <w:r>
              <w:rPr>
                <w:rFonts w:ascii="Times New Roman" w:hAnsi="Times New Roman" w:cs="宋体"/>
                <w:color w:val="000000" w:themeColor="text1"/>
                <w:szCs w:val="21"/>
                <w14:textFill>
                  <w14:solidFill>
                    <w14:schemeClr w14:val="tx1"/>
                  </w14:solidFill>
                </w14:textFill>
              </w:rPr>
              <w:t>应用数学</w:t>
            </w:r>
            <w:r>
              <w:rPr>
                <w:rFonts w:hint="eastAsia" w:ascii="Times New Roman" w:hAnsi="Times New Roman" w:cs="宋体"/>
                <w:color w:val="000000" w:themeColor="text1"/>
                <w:szCs w:val="21"/>
                <w14:textFill>
                  <w14:solidFill>
                    <w14:schemeClr w14:val="tx1"/>
                  </w14:solidFill>
                </w14:textFill>
              </w:rPr>
              <w:t>-10</w:t>
            </w:r>
            <w:r>
              <w:rPr>
                <w:rFonts w:ascii="Times New Roman" w:hAnsi="Times New Roman" w:cs="宋体"/>
                <w:color w:val="000000" w:themeColor="text1"/>
                <w:szCs w:val="21"/>
                <w14:textFill>
                  <w14:solidFill>
                    <w14:schemeClr w14:val="tx1"/>
                  </w14:solidFill>
                </w14:textFill>
              </w:rPr>
              <w:t>人</w:t>
            </w:r>
          </w:p>
          <w:p>
            <w:pPr>
              <w:keepNext w:val="0"/>
              <w:keepLines w:val="0"/>
              <w:pageBreakBefore w:val="0"/>
              <w:widowControl w:val="0"/>
              <w:kinsoku/>
              <w:wordWrap/>
              <w:overflowPunct/>
              <w:topLinePunct w:val="0"/>
              <w:autoSpaceDE/>
              <w:autoSpaceDN/>
              <w:bidi w:val="0"/>
              <w:adjustRightInd/>
              <w:snapToGrid/>
              <w:spacing w:line="280" w:lineRule="exact"/>
              <w:ind w:left="-2" w:leftChars="-1" w:right="-42" w:rightChars="-20"/>
              <w:jc w:val="center"/>
              <w:textAlignment w:val="auto"/>
              <w:rPr>
                <w:rFonts w:ascii="Times New Roman" w:hAnsi="Times New Roman" w:cs="宋体"/>
                <w:color w:val="000000" w:themeColor="text1"/>
                <w:szCs w:val="21"/>
                <w14:textFill>
                  <w14:solidFill>
                    <w14:schemeClr w14:val="tx1"/>
                  </w14:solidFill>
                </w14:textFill>
              </w:rPr>
            </w:pPr>
            <w:r>
              <w:rPr>
                <w:rFonts w:ascii="Times New Roman" w:hAnsi="Times New Roman" w:cs="宋体"/>
                <w:color w:val="000000" w:themeColor="text1"/>
                <w:szCs w:val="21"/>
                <w14:textFill>
                  <w14:solidFill>
                    <w14:schemeClr w14:val="tx1"/>
                  </w14:solidFill>
                </w14:textFill>
              </w:rPr>
              <w:t>运筹学与控制论</w:t>
            </w:r>
            <w:r>
              <w:rPr>
                <w:rFonts w:hint="eastAsia" w:ascii="Times New Roman" w:hAnsi="Times New Roman" w:cs="宋体"/>
                <w:color w:val="000000" w:themeColor="text1"/>
                <w:szCs w:val="21"/>
                <w14:textFill>
                  <w14:solidFill>
                    <w14:schemeClr w14:val="tx1"/>
                  </w14:solidFill>
                </w14:textFill>
              </w:rPr>
              <w:t>-7</w:t>
            </w:r>
            <w:r>
              <w:rPr>
                <w:rFonts w:ascii="Times New Roman" w:hAnsi="Times New Roman" w:cs="宋体"/>
                <w:color w:val="000000" w:themeColor="text1"/>
                <w:szCs w:val="21"/>
                <w14:textFill>
                  <w14:solidFill>
                    <w14:schemeClr w14:val="tx1"/>
                  </w14:solidFill>
                </w14:textFill>
              </w:rPr>
              <w:t>人</w:t>
            </w:r>
          </w:p>
          <w:p>
            <w:pPr>
              <w:keepNext w:val="0"/>
              <w:keepLines w:val="0"/>
              <w:pageBreakBefore w:val="0"/>
              <w:widowControl w:val="0"/>
              <w:kinsoku/>
              <w:wordWrap/>
              <w:overflowPunct/>
              <w:topLinePunct w:val="0"/>
              <w:autoSpaceDE/>
              <w:autoSpaceDN/>
              <w:bidi w:val="0"/>
              <w:adjustRightInd/>
              <w:snapToGrid/>
              <w:spacing w:line="280" w:lineRule="exact"/>
              <w:ind w:left="-2" w:leftChars="-1" w:right="-42" w:rightChars="-20"/>
              <w:jc w:val="center"/>
              <w:textAlignment w:val="auto"/>
              <w:rPr>
                <w:rFonts w:ascii="Times New Roman" w:hAnsi="Times New Roman" w:cs="宋体"/>
                <w:color w:val="000000" w:themeColor="text1"/>
                <w:szCs w:val="21"/>
                <w14:textFill>
                  <w14:solidFill>
                    <w14:schemeClr w14:val="tx1"/>
                  </w14:solidFill>
                </w14:textFill>
              </w:rPr>
            </w:pPr>
            <w:r>
              <w:rPr>
                <w:rFonts w:ascii="Times New Roman" w:hAnsi="Times New Roman" w:cs="宋体"/>
                <w:color w:val="000000" w:themeColor="text1"/>
                <w:szCs w:val="21"/>
                <w14:textFill>
                  <w14:solidFill>
                    <w14:schemeClr w14:val="tx1"/>
                  </w14:solidFill>
                </w14:textFill>
              </w:rPr>
              <w:t>数学教育</w:t>
            </w:r>
            <w:r>
              <w:rPr>
                <w:rFonts w:hint="eastAsia" w:ascii="Times New Roman" w:hAnsi="Times New Roman" w:cs="宋体"/>
                <w:color w:val="000000" w:themeColor="text1"/>
                <w:szCs w:val="21"/>
                <w14:textFill>
                  <w14:solidFill>
                    <w14:schemeClr w14:val="tx1"/>
                  </w14:solidFill>
                </w14:textFill>
              </w:rPr>
              <w:t>-4</w:t>
            </w:r>
            <w:r>
              <w:rPr>
                <w:rFonts w:ascii="Times New Roman" w:hAnsi="Times New Roman" w:cs="宋体"/>
                <w:color w:val="000000" w:themeColor="text1"/>
                <w:szCs w:val="21"/>
                <w14:textFill>
                  <w14:solidFill>
                    <w14:schemeClr w14:val="tx1"/>
                  </w14:solidFill>
                </w14:textFill>
              </w:rPr>
              <w:t>人</w:t>
            </w:r>
          </w:p>
        </w:tc>
        <w:tc>
          <w:tcPr>
            <w:tcW w:w="1027"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42" w:rightChars="-20"/>
              <w:jc w:val="center"/>
              <w:textAlignment w:val="auto"/>
              <w:rPr>
                <w:rFonts w:ascii="Times New Roman" w:hAnsi="Times New Roman" w:cs="宋体"/>
                <w:color w:val="FF0000"/>
                <w:szCs w:val="21"/>
              </w:rPr>
            </w:pPr>
            <w:r>
              <w:rPr>
                <w:rFonts w:hint="eastAsia" w:ascii="Times New Roman" w:hAnsi="Times New Roman" w:cs="宋体"/>
                <w:color w:val="000000" w:themeColor="text1"/>
                <w:szCs w:val="21"/>
                <w14:textFill>
                  <w14:solidFill>
                    <w14:schemeClr w14:val="tx1"/>
                  </w14:solidFill>
                </w14:textFill>
              </w:rPr>
              <w:t>67</w:t>
            </w:r>
            <w:r>
              <w:rPr>
                <w:rFonts w:ascii="Times New Roman" w:hAnsi="Times New Roman" w:cs="宋体"/>
                <w:color w:val="000000" w:themeColor="text1"/>
                <w:szCs w:val="21"/>
                <w14:textFill>
                  <w14:solidFill>
                    <w14:schemeClr w14:val="tx1"/>
                  </w14:solidFill>
                </w14:textFill>
              </w:rPr>
              <w:t>.</w:t>
            </w:r>
            <w:r>
              <w:rPr>
                <w:rFonts w:hint="eastAsia" w:ascii="Times New Roman" w:hAnsi="Times New Roman" w:cs="宋体"/>
                <w:color w:val="000000" w:themeColor="text1"/>
                <w:szCs w:val="21"/>
                <w14:textFill>
                  <w14:solidFill>
                    <w14:schemeClr w14:val="tx1"/>
                  </w14:solidFill>
                </w14:textFill>
              </w:rPr>
              <w:t>4%</w:t>
            </w:r>
          </w:p>
        </w:tc>
        <w:tc>
          <w:tcPr>
            <w:tcW w:w="127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2" w:leftChars="-1" w:right="-42" w:rightChars="-20"/>
              <w:jc w:val="center"/>
              <w:textAlignment w:val="auto"/>
              <w:rPr>
                <w:rFonts w:ascii="Times New Roman" w:hAnsi="Times New Roman" w:cs="宋体"/>
                <w:color w:val="000000" w:themeColor="text1"/>
                <w:szCs w:val="21"/>
                <w14:textFill>
                  <w14:solidFill>
                    <w14:schemeClr w14:val="tx1"/>
                  </w14:solidFill>
                </w14:textFill>
              </w:rPr>
            </w:pPr>
            <w:r>
              <w:rPr>
                <w:rFonts w:ascii="Times New Roman" w:hAnsi="Times New Roman" w:cs="宋体"/>
                <w:color w:val="000000" w:themeColor="text1"/>
                <w:szCs w:val="21"/>
                <w14:textFill>
                  <w14:solidFill>
                    <w14:schemeClr w14:val="tx1"/>
                  </w14:solidFill>
                </w14:textFill>
              </w:rPr>
              <w:t>省内</w:t>
            </w:r>
            <w:r>
              <w:rPr>
                <w:rFonts w:hint="eastAsia" w:ascii="Times New Roman" w:hAnsi="Times New Roman" w:cs="宋体"/>
                <w:color w:val="000000" w:themeColor="text1"/>
                <w:szCs w:val="21"/>
                <w14:textFill>
                  <w14:solidFill>
                    <w14:schemeClr w14:val="tx1"/>
                  </w14:solidFill>
                </w14:textFill>
              </w:rPr>
              <w:t>57.8%</w:t>
            </w:r>
          </w:p>
          <w:p>
            <w:pPr>
              <w:keepNext w:val="0"/>
              <w:keepLines w:val="0"/>
              <w:pageBreakBefore w:val="0"/>
              <w:widowControl w:val="0"/>
              <w:kinsoku/>
              <w:wordWrap/>
              <w:overflowPunct/>
              <w:topLinePunct w:val="0"/>
              <w:autoSpaceDE/>
              <w:autoSpaceDN/>
              <w:bidi w:val="0"/>
              <w:adjustRightInd/>
              <w:snapToGrid/>
              <w:spacing w:line="280" w:lineRule="exact"/>
              <w:ind w:left="-2" w:leftChars="-1" w:right="-42" w:rightChars="-20"/>
              <w:jc w:val="center"/>
              <w:textAlignment w:val="auto"/>
              <w:rPr>
                <w:rFonts w:ascii="Times New Roman" w:hAnsi="Times New Roman" w:cs="宋体"/>
                <w:color w:val="FF0000"/>
                <w:szCs w:val="21"/>
              </w:rPr>
            </w:pPr>
            <w:r>
              <w:rPr>
                <w:rFonts w:ascii="Times New Roman" w:hAnsi="Times New Roman" w:cs="宋体"/>
                <w:color w:val="000000" w:themeColor="text1"/>
                <w:szCs w:val="21"/>
                <w14:textFill>
                  <w14:solidFill>
                    <w14:schemeClr w14:val="tx1"/>
                  </w14:solidFill>
                </w14:textFill>
              </w:rPr>
              <w:t>省外</w:t>
            </w:r>
            <w:r>
              <w:rPr>
                <w:rFonts w:hint="eastAsia" w:ascii="Times New Roman" w:hAnsi="Times New Roman" w:cs="宋体"/>
                <w:color w:val="000000" w:themeColor="text1"/>
                <w:szCs w:val="21"/>
                <w14:textFill>
                  <w14:solidFill>
                    <w14:schemeClr w14:val="tx1"/>
                  </w14:solidFill>
                </w14:textFill>
              </w:rPr>
              <w:t>42</w:t>
            </w:r>
            <w:r>
              <w:rPr>
                <w:rFonts w:ascii="Times New Roman" w:hAnsi="Times New Roman" w:cs="宋体"/>
                <w:color w:val="000000" w:themeColor="text1"/>
                <w:szCs w:val="21"/>
                <w14:textFill>
                  <w14:solidFill>
                    <w14:schemeClr w14:val="tx1"/>
                  </w14:solidFill>
                </w14:textFill>
              </w:rPr>
              <w:t>.</w:t>
            </w:r>
            <w:r>
              <w:rPr>
                <w:rFonts w:hint="eastAsia" w:ascii="Times New Roman" w:hAnsi="Times New Roman" w:cs="宋体"/>
                <w:color w:val="000000" w:themeColor="text1"/>
                <w:szCs w:val="21"/>
                <w14:textFill>
                  <w14:solidFill>
                    <w14:schemeClr w14:val="tx1"/>
                  </w14:solidFill>
                </w14:textFill>
              </w:rPr>
              <w:t>2%</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firstLine="480" w:firstLineChars="200"/>
        <w:jc w:val="both"/>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为了保证生源质量，一方面通过加大宣传学科优势、强师资队伍，学院领导及导师到兄弟院校进行报告、座谈，增加影响力，吸引生源。另一方面，通过内部加强学位授权点建设，提升学位点的研究水平与人才培养水平，增大在国内外的影响力。生源主要来自于本校优秀的本科生、硕士研究生，以及国内高水平院校优秀硕士毕业生。</w:t>
      </w:r>
    </w:p>
    <w:p>
      <w:pPr>
        <w:keepNext w:val="0"/>
        <w:keepLines w:val="0"/>
        <w:pageBreakBefore w:val="0"/>
        <w:kinsoku/>
        <w:wordWrap/>
        <w:overflowPunct/>
        <w:topLinePunct w:val="0"/>
        <w:bidi w:val="0"/>
        <w:spacing w:line="360" w:lineRule="auto"/>
        <w:ind w:left="0" w:leftChars="0" w:firstLine="602" w:firstLineChars="200"/>
        <w:jc w:val="both"/>
        <w:textAlignment w:val="auto"/>
        <w:rPr>
          <w:rFonts w:ascii="Times New Roman" w:hAnsi="Times New Roman" w:cs="宋体"/>
          <w:b/>
          <w:color w:val="000000" w:themeColor="text1"/>
          <w:sz w:val="30"/>
          <w:szCs w:val="30"/>
          <w14:textFill>
            <w14:solidFill>
              <w14:schemeClr w14:val="tx1"/>
            </w14:solidFill>
          </w14:textFill>
        </w:rPr>
      </w:pPr>
      <w:r>
        <w:rPr>
          <w:rFonts w:ascii="Times New Roman" w:hAnsi="Times New Roman" w:cs="宋体"/>
          <w:b/>
          <w:color w:val="000000" w:themeColor="text1"/>
          <w:sz w:val="30"/>
          <w:szCs w:val="30"/>
          <w14:textFill>
            <w14:solidFill>
              <w14:schemeClr w14:val="tx1"/>
            </w14:solidFill>
          </w14:textFill>
        </w:rPr>
        <w:t>3</w:t>
      </w:r>
      <w:r>
        <w:rPr>
          <w:rFonts w:hint="eastAsia" w:ascii="Times New Roman" w:hAnsi="Times New Roman" w:cs="宋体"/>
          <w:b/>
          <w:color w:val="000000" w:themeColor="text1"/>
          <w:sz w:val="30"/>
          <w:szCs w:val="30"/>
          <w14:textFill>
            <w14:solidFill>
              <w14:schemeClr w14:val="tx1"/>
            </w14:solidFill>
          </w14:textFill>
        </w:rPr>
        <w:t>．课程教学改革和建设情况</w:t>
      </w:r>
    </w:p>
    <w:p>
      <w:pPr>
        <w:pStyle w:val="2"/>
        <w:keepNext w:val="0"/>
        <w:keepLines w:val="0"/>
        <w:pageBreakBefore w:val="0"/>
        <w:kinsoku/>
        <w:wordWrap/>
        <w:overflowPunct/>
        <w:topLinePunct w:val="0"/>
        <w:bidi w:val="0"/>
        <w:spacing w:before="0" w:beforeAutospacing="0" w:after="0" w:afterAutospacing="0" w:line="360" w:lineRule="auto"/>
        <w:ind w:left="0" w:leftChars="0" w:firstLine="480" w:firstLineChars="200"/>
        <w:jc w:val="both"/>
        <w:textAlignment w:val="auto"/>
        <w:rPr>
          <w:rFonts w:ascii="Times New Roman" w:hAnsi="Times New Roman"/>
          <w:b w:val="0"/>
          <w:bCs w:val="0"/>
          <w:color w:val="000000" w:themeColor="text1"/>
          <w:kern w:val="2"/>
          <w:sz w:val="24"/>
          <w:szCs w:val="24"/>
          <w14:textFill>
            <w14:solidFill>
              <w14:schemeClr w14:val="tx1"/>
            </w14:solidFill>
          </w14:textFill>
        </w:rPr>
      </w:pPr>
      <w:r>
        <w:rPr>
          <w:rFonts w:hint="eastAsia" w:ascii="Times New Roman" w:hAnsi="Times New Roman"/>
          <w:b w:val="0"/>
          <w:bCs w:val="0"/>
          <w:color w:val="000000" w:themeColor="text1"/>
          <w:kern w:val="2"/>
          <w:sz w:val="24"/>
          <w:szCs w:val="24"/>
          <w14:textFill>
            <w14:solidFill>
              <w14:schemeClr w14:val="tx1"/>
            </w14:solidFill>
          </w14:textFill>
        </w:rPr>
        <w:t>课程教学是我国学位和研究生教育制度的重要特征，是保障研究生培养质量的必备环节。重视课程教学，加强课程建设，是当前深化研究生教育改革的重要任务。学科学位授权点从人才培养模式、课程体系、质量督导等方面采取了一系列有力措施：</w:t>
      </w:r>
    </w:p>
    <w:p>
      <w:pPr>
        <w:keepNext w:val="0"/>
        <w:keepLines w:val="0"/>
        <w:pageBreakBefore w:val="0"/>
        <w:kinsoku/>
        <w:wordWrap/>
        <w:overflowPunct/>
        <w:topLinePunct w:val="0"/>
        <w:bidi w:val="0"/>
        <w:spacing w:line="360" w:lineRule="auto"/>
        <w:ind w:left="0" w:leftChars="0" w:firstLine="482" w:firstLineChars="200"/>
        <w:jc w:val="both"/>
        <w:textAlignment w:val="auto"/>
        <w:rPr>
          <w:rFonts w:ascii="Times New Roman" w:hAnsi="Times New Roman" w:cs="宋体"/>
          <w:b/>
          <w:color w:val="000000" w:themeColor="text1"/>
          <w:spacing w:val="-6"/>
          <w:sz w:val="24"/>
          <w14:textFill>
            <w14:solidFill>
              <w14:schemeClr w14:val="tx1"/>
            </w14:solidFill>
          </w14:textFill>
        </w:rPr>
      </w:pPr>
      <w:r>
        <w:rPr>
          <w:rFonts w:ascii="Times New Roman" w:hAnsi="Times New Roman" w:cs="宋体"/>
          <w:b/>
          <w:color w:val="000000" w:themeColor="text1"/>
          <w:sz w:val="24"/>
          <w14:textFill>
            <w14:solidFill>
              <w14:schemeClr w14:val="tx1"/>
            </w14:solidFill>
          </w14:textFill>
        </w:rPr>
        <w:t xml:space="preserve">3.1 </w:t>
      </w:r>
      <w:r>
        <w:rPr>
          <w:rFonts w:ascii="Times New Roman" w:hAnsi="Times New Roman" w:cs="宋体"/>
          <w:b/>
          <w:color w:val="000000" w:themeColor="text1"/>
          <w:spacing w:val="-6"/>
          <w:sz w:val="24"/>
          <w14:textFill>
            <w14:solidFill>
              <w14:schemeClr w14:val="tx1"/>
            </w14:solidFill>
          </w14:textFill>
        </w:rPr>
        <w:t xml:space="preserve"> </w:t>
      </w:r>
      <w:r>
        <w:rPr>
          <w:rFonts w:hint="eastAsia" w:ascii="Times New Roman" w:hAnsi="Times New Roman" w:cs="宋体"/>
          <w:b/>
          <w:color w:val="000000" w:themeColor="text1"/>
          <w:spacing w:val="-6"/>
          <w:sz w:val="24"/>
          <w14:textFill>
            <w14:solidFill>
              <w14:schemeClr w14:val="tx1"/>
            </w14:solidFill>
          </w14:textFill>
        </w:rPr>
        <w:t>注重人才培养多样化，践行科教融合、贯穿</w:t>
      </w:r>
      <w:r>
        <w:rPr>
          <w:rFonts w:ascii="Times New Roman" w:hAnsi="Times New Roman" w:cs="宋体"/>
          <w:b/>
          <w:color w:val="000000" w:themeColor="text1"/>
          <w:spacing w:val="-6"/>
          <w:sz w:val="24"/>
          <w14:textFill>
            <w14:solidFill>
              <w14:schemeClr w14:val="tx1"/>
            </w14:solidFill>
          </w14:textFill>
        </w:rPr>
        <w:t>产学研</w:t>
      </w:r>
      <w:r>
        <w:rPr>
          <w:rFonts w:hint="eastAsia" w:ascii="Times New Roman" w:hAnsi="Times New Roman" w:cs="宋体"/>
          <w:b/>
          <w:color w:val="000000" w:themeColor="text1"/>
          <w:spacing w:val="-6"/>
          <w:sz w:val="24"/>
          <w14:textFill>
            <w14:solidFill>
              <w14:schemeClr w14:val="tx1"/>
            </w14:solidFill>
          </w14:textFill>
        </w:rPr>
        <w:t>的创新人才培养模式</w:t>
      </w:r>
    </w:p>
    <w:p>
      <w:pPr>
        <w:keepNext w:val="0"/>
        <w:keepLines w:val="0"/>
        <w:pageBreakBefore w:val="0"/>
        <w:kinsoku/>
        <w:wordWrap/>
        <w:overflowPunct/>
        <w:topLinePunct w:val="0"/>
        <w:bidi w:val="0"/>
        <w:spacing w:line="360" w:lineRule="auto"/>
        <w:ind w:left="0" w:leftChars="0" w:firstLine="480" w:firstLineChars="200"/>
        <w:jc w:val="both"/>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学科学位授权点以分类培养为宗旨，深化研究生培养模式改革。推荐</w:t>
      </w:r>
      <w:r>
        <w:rPr>
          <w:rFonts w:ascii="Times New Roman" w:hAnsi="Times New Roman" w:cs="宋体"/>
          <w:color w:val="000000" w:themeColor="text1"/>
          <w:sz w:val="24"/>
          <w14:textFill>
            <w14:solidFill>
              <w14:schemeClr w14:val="tx1"/>
            </w14:solidFill>
          </w14:textFill>
        </w:rPr>
        <w:t>优</w:t>
      </w:r>
      <w:r>
        <w:rPr>
          <w:rFonts w:hint="eastAsia" w:ascii="Times New Roman" w:hAnsi="Times New Roman" w:cs="宋体"/>
          <w:color w:val="000000" w:themeColor="text1"/>
          <w:sz w:val="24"/>
          <w14:textFill>
            <w14:solidFill>
              <w14:schemeClr w14:val="tx1"/>
            </w14:solidFill>
          </w14:textFill>
        </w:rPr>
        <w:t>秀研究生赴国内名校和科研机构开展访学，并建立研究生学术活动资助和科研工作奖励机制；强化</w:t>
      </w:r>
      <w:r>
        <w:rPr>
          <w:rFonts w:ascii="Times New Roman" w:hAnsi="Times New Roman" w:cs="宋体"/>
          <w:color w:val="000000" w:themeColor="text1"/>
          <w:sz w:val="24"/>
          <w14:textFill>
            <w14:solidFill>
              <w14:schemeClr w14:val="tx1"/>
            </w14:solidFill>
          </w14:textFill>
        </w:rPr>
        <w:t>与国内外科研机构或企业联合培养创新人才。</w:t>
      </w:r>
      <w:r>
        <w:rPr>
          <w:rFonts w:hint="eastAsia" w:ascii="Times New Roman" w:hAnsi="Times New Roman" w:cs="宋体"/>
          <w:color w:val="000000" w:themeColor="text1"/>
          <w:sz w:val="24"/>
          <w14:textFill>
            <w14:solidFill>
              <w14:schemeClr w14:val="tx1"/>
            </w14:solidFill>
          </w14:textFill>
        </w:rPr>
        <w:t>选派研究生到境外地区与著名学者合作与交流。</w:t>
      </w:r>
      <w:r>
        <w:rPr>
          <w:rFonts w:ascii="Times New Roman" w:hAnsi="Times New Roman" w:cs="宋体"/>
          <w:color w:val="000000" w:themeColor="text1"/>
          <w:sz w:val="24"/>
          <w14:textFill>
            <w14:solidFill>
              <w14:schemeClr w14:val="tx1"/>
            </w14:solidFill>
          </w14:textFill>
        </w:rPr>
        <w:t>与</w:t>
      </w:r>
      <w:r>
        <w:rPr>
          <w:rFonts w:hint="eastAsia" w:ascii="Times New Roman" w:hAnsi="Times New Roman" w:cs="宋体"/>
          <w:color w:val="000000" w:themeColor="text1"/>
          <w:sz w:val="24"/>
          <w14:textFill>
            <w14:solidFill>
              <w14:schemeClr w14:val="tx1"/>
            </w14:solidFill>
          </w14:textFill>
        </w:rPr>
        <w:t>王国秋教授科研成果转化的企业湖南</w:t>
      </w:r>
      <w:r>
        <w:rPr>
          <w:rFonts w:ascii="Times New Roman" w:hAnsi="Times New Roman" w:cs="宋体"/>
          <w:color w:val="000000" w:themeColor="text1"/>
          <w:sz w:val="24"/>
          <w14:textFill>
            <w14:solidFill>
              <w14:schemeClr w14:val="tx1"/>
            </w14:solidFill>
          </w14:textFill>
        </w:rPr>
        <w:t>启泰传感科技有限公司和潇湘大数据研究院协同培养人才</w:t>
      </w:r>
      <w:r>
        <w:rPr>
          <w:rFonts w:hint="eastAsia" w:ascii="Times New Roman" w:hAnsi="Times New Roman" w:cs="宋体"/>
          <w:color w:val="000000" w:themeColor="text1"/>
          <w:sz w:val="24"/>
          <w14:textFill>
            <w14:solidFill>
              <w14:schemeClr w14:val="tx1"/>
            </w14:solidFill>
          </w14:textFill>
        </w:rPr>
        <w:t>；依托数学博士后科研流动站平台，邀请国内知名大学的专家学者共同研讨</w:t>
      </w:r>
      <w:r>
        <w:rPr>
          <w:rFonts w:ascii="Times New Roman" w:hAnsi="Times New Roman" w:cs="宋体"/>
          <w:color w:val="000000" w:themeColor="text1"/>
          <w:sz w:val="24"/>
          <w14:textFill>
            <w14:solidFill>
              <w14:schemeClr w14:val="tx1"/>
            </w14:solidFill>
          </w14:textFill>
        </w:rPr>
        <w:t>,推动</w:t>
      </w:r>
      <w:r>
        <w:rPr>
          <w:rFonts w:hint="eastAsia" w:ascii="Times New Roman" w:hAnsi="Times New Roman" w:cs="宋体"/>
          <w:color w:val="000000" w:themeColor="text1"/>
          <w:sz w:val="24"/>
          <w14:textFill>
            <w14:solidFill>
              <w14:schemeClr w14:val="tx1"/>
            </w14:solidFill>
          </w14:textFill>
        </w:rPr>
        <w:t>课程</w:t>
      </w:r>
      <w:r>
        <w:rPr>
          <w:rFonts w:ascii="Times New Roman" w:hAnsi="Times New Roman" w:cs="宋体"/>
          <w:color w:val="000000" w:themeColor="text1"/>
          <w:sz w:val="24"/>
          <w14:textFill>
            <w14:solidFill>
              <w14:schemeClr w14:val="tx1"/>
            </w14:solidFill>
          </w14:textFill>
        </w:rPr>
        <w:t>教学改革</w:t>
      </w:r>
      <w:r>
        <w:rPr>
          <w:rFonts w:hint="eastAsia" w:ascii="Times New Roman" w:hAnsi="Times New Roman" w:cs="宋体"/>
          <w:color w:val="000000" w:themeColor="text1"/>
          <w:sz w:val="24"/>
          <w14:textFill>
            <w14:solidFill>
              <w14:schemeClr w14:val="tx1"/>
            </w14:solidFill>
          </w14:textFill>
        </w:rPr>
        <w:t>；与长郡中学、长沙市第一中学等签订教育硕士联合培养基地，并召开了联合基地授牌仪式暨专题研讨会。</w:t>
      </w:r>
    </w:p>
    <w:p>
      <w:pPr>
        <w:pStyle w:val="20"/>
        <w:keepNext w:val="0"/>
        <w:keepLines w:val="0"/>
        <w:pageBreakBefore w:val="0"/>
        <w:kinsoku/>
        <w:wordWrap/>
        <w:overflowPunct/>
        <w:topLinePunct w:val="0"/>
        <w:bidi w:val="0"/>
        <w:spacing w:line="360" w:lineRule="auto"/>
        <w:ind w:left="0" w:leftChars="0" w:firstLine="482" w:firstLineChars="200"/>
        <w:jc w:val="both"/>
        <w:textAlignment w:val="auto"/>
        <w:rPr>
          <w:rFonts w:ascii="Times New Roman" w:hAnsi="Times New Roman" w:eastAsia="宋体" w:cs="宋体"/>
          <w:b/>
          <w:color w:val="000000" w:themeColor="text1"/>
          <w:kern w:val="2"/>
          <w14:textFill>
            <w14:solidFill>
              <w14:schemeClr w14:val="tx1"/>
            </w14:solidFill>
          </w14:textFill>
        </w:rPr>
      </w:pPr>
      <w:r>
        <w:rPr>
          <w:rFonts w:hint="eastAsia" w:ascii="Times New Roman" w:hAnsi="Times New Roman" w:eastAsia="宋体" w:cs="宋体"/>
          <w:b/>
          <w:color w:val="000000" w:themeColor="text1"/>
          <w:kern w:val="2"/>
          <w14:textFill>
            <w14:solidFill>
              <w14:schemeClr w14:val="tx1"/>
            </w14:solidFill>
          </w14:textFill>
        </w:rPr>
        <w:t>3.</w:t>
      </w:r>
      <w:r>
        <w:rPr>
          <w:rFonts w:ascii="Times New Roman" w:hAnsi="Times New Roman" w:eastAsia="宋体" w:cs="宋体"/>
          <w:b/>
          <w:color w:val="000000" w:themeColor="text1"/>
          <w:kern w:val="2"/>
          <w14:textFill>
            <w14:solidFill>
              <w14:schemeClr w14:val="tx1"/>
            </w14:solidFill>
          </w14:textFill>
        </w:rPr>
        <w:t xml:space="preserve">2  </w:t>
      </w:r>
      <w:r>
        <w:rPr>
          <w:rFonts w:hint="eastAsia" w:ascii="Times New Roman" w:hAnsi="Times New Roman" w:eastAsia="宋体" w:cs="宋体"/>
          <w:b/>
          <w:color w:val="000000" w:themeColor="text1"/>
          <w:kern w:val="2"/>
          <w14:textFill>
            <w14:solidFill>
              <w14:schemeClr w14:val="tx1"/>
            </w14:solidFill>
          </w14:textFill>
        </w:rPr>
        <w:t>构建以职业需求为导向，以实践创新能力培养为核心的“</w:t>
      </w:r>
      <w:r>
        <w:rPr>
          <w:rFonts w:ascii="Times New Roman" w:hAnsi="Times New Roman" w:eastAsia="宋体" w:cs="宋体"/>
          <w:b/>
          <w:color w:val="000000" w:themeColor="text1"/>
          <w:kern w:val="2"/>
          <w14:textFill>
            <w14:solidFill>
              <w14:schemeClr w14:val="tx1"/>
            </w14:solidFill>
          </w14:textFill>
        </w:rPr>
        <w:t>共享</w:t>
      </w:r>
      <w:r>
        <w:rPr>
          <w:rFonts w:hint="eastAsia" w:ascii="Times New Roman" w:hAnsi="Times New Roman" w:eastAsia="宋体" w:cs="宋体"/>
          <w:b/>
          <w:color w:val="000000" w:themeColor="text1"/>
          <w:kern w:val="2"/>
          <w14:textFill>
            <w14:solidFill>
              <w14:schemeClr w14:val="tx1"/>
            </w14:solidFill>
          </w14:textFill>
        </w:rPr>
        <w:t>、共建、共融”的课程体系。</w:t>
      </w:r>
    </w:p>
    <w:p>
      <w:pPr>
        <w:keepNext w:val="0"/>
        <w:keepLines w:val="0"/>
        <w:pageBreakBefore w:val="0"/>
        <w:kinsoku/>
        <w:wordWrap/>
        <w:overflowPunct/>
        <w:topLinePunct w:val="0"/>
        <w:bidi w:val="0"/>
        <w:spacing w:line="360" w:lineRule="auto"/>
        <w:ind w:left="0" w:leftChars="0" w:firstLine="480" w:firstLineChars="200"/>
        <w:jc w:val="both"/>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学科学位授权点借助教育部“研究生课程建设改革试点院校”的契机，</w:t>
      </w:r>
    </w:p>
    <w:p>
      <w:pPr>
        <w:keepNext w:val="0"/>
        <w:keepLines w:val="0"/>
        <w:pageBreakBefore w:val="0"/>
        <w:kinsoku/>
        <w:wordWrap/>
        <w:overflowPunct/>
        <w:topLinePunct w:val="0"/>
        <w:bidi w:val="0"/>
        <w:spacing w:line="360" w:lineRule="auto"/>
        <w:ind w:left="0" w:leftChars="0" w:firstLine="482" w:firstLineChars="200"/>
        <w:jc w:val="both"/>
        <w:textAlignment w:val="auto"/>
        <w:rPr>
          <w:rFonts w:ascii="Times New Roman" w:hAnsi="Times New Roman" w:cs="宋体"/>
          <w:color w:val="000000" w:themeColor="text1"/>
          <w:sz w:val="24"/>
          <w14:textFill>
            <w14:solidFill>
              <w14:schemeClr w14:val="tx1"/>
            </w14:solidFill>
          </w14:textFill>
        </w:rPr>
      </w:pPr>
      <w:r>
        <w:rPr>
          <w:rFonts w:ascii="Times New Roman" w:hAnsi="Times New Roman" w:cs="宋体"/>
          <w:b/>
          <w:color w:val="000000" w:themeColor="text1"/>
          <w:sz w:val="24"/>
          <w14:textFill>
            <w14:solidFill>
              <w14:schemeClr w14:val="tx1"/>
            </w14:solidFill>
          </w14:textFill>
        </w:rPr>
        <w:t>3.2.1</w:t>
      </w:r>
      <w:r>
        <w:rPr>
          <w:rFonts w:hint="eastAsia" w:ascii="Times New Roman" w:hAnsi="Times New Roman" w:cs="宋体"/>
          <w:b/>
          <w:color w:val="000000" w:themeColor="text1"/>
          <w:sz w:val="24"/>
          <w14:textFill>
            <w14:solidFill>
              <w14:schemeClr w14:val="tx1"/>
            </w14:solidFill>
          </w14:textFill>
        </w:rPr>
        <w:t>修订研究生培养方案，调整课程结构、优化教学内容。</w:t>
      </w:r>
      <w:r>
        <w:rPr>
          <w:rFonts w:ascii="Times New Roman" w:hAnsi="Times New Roman" w:cs="宋体"/>
          <w:color w:val="000000" w:themeColor="text1"/>
          <w:sz w:val="24"/>
          <w14:textFill>
            <w14:solidFill>
              <w14:schemeClr w14:val="tx1"/>
            </w14:solidFill>
          </w14:textFill>
        </w:rPr>
        <w:t>推进按一级学科设置培养方案</w:t>
      </w:r>
      <w:r>
        <w:rPr>
          <w:rFonts w:hint="eastAsia" w:ascii="Times New Roman" w:hAnsi="Times New Roman" w:cs="宋体"/>
          <w:color w:val="000000" w:themeColor="text1"/>
          <w:sz w:val="24"/>
          <w14:textFill>
            <w14:solidFill>
              <w14:schemeClr w14:val="tx1"/>
            </w14:solidFill>
          </w14:textFill>
        </w:rPr>
        <w:t>，实现一级学科内课程开放共享；选修课模块实行全校课程通修通选、校际课程互选，同时鼓励部分学科按学科群进行课程设置，实现学科群内“学科必修课”资源共享；开设大科城共享课程，实现高校研究生课程资源共享和学分互认；聘请名师开</w:t>
      </w:r>
      <w:r>
        <w:rPr>
          <w:rFonts w:ascii="Times New Roman" w:hAnsi="Times New Roman" w:cs="宋体"/>
          <w:color w:val="000000" w:themeColor="text1"/>
          <w:sz w:val="24"/>
          <w14:textFill>
            <w14:solidFill>
              <w14:schemeClr w14:val="tx1"/>
            </w14:solidFill>
          </w14:textFill>
        </w:rPr>
        <w:t>设</w:t>
      </w:r>
      <w:r>
        <w:rPr>
          <w:rFonts w:hint="eastAsia" w:ascii="Times New Roman" w:hAnsi="Times New Roman" w:cs="宋体"/>
          <w:color w:val="000000" w:themeColor="text1"/>
          <w:sz w:val="24"/>
          <w14:textFill>
            <w14:solidFill>
              <w14:schemeClr w14:val="tx1"/>
            </w14:solidFill>
          </w14:textFill>
        </w:rPr>
        <w:t>“微型课程”，实现国内外高校优质课程资源共享；深化学科理论基础课程，结合博士生研究方向优化课程安排，以研究与学习相结合的方式让博士研究生逐渐成为学习和课题研究的中心，培养其自学和科研能力。</w:t>
      </w:r>
    </w:p>
    <w:p>
      <w:pPr>
        <w:keepNext w:val="0"/>
        <w:keepLines w:val="0"/>
        <w:pageBreakBefore w:val="0"/>
        <w:kinsoku/>
        <w:wordWrap/>
        <w:overflowPunct/>
        <w:topLinePunct w:val="0"/>
        <w:bidi w:val="0"/>
        <w:spacing w:line="360" w:lineRule="auto"/>
        <w:ind w:left="0" w:leftChars="0" w:firstLine="482" w:firstLineChars="200"/>
        <w:jc w:val="both"/>
        <w:textAlignment w:val="auto"/>
        <w:rPr>
          <w:rFonts w:ascii="Times New Roman" w:hAnsi="Times New Roman" w:cs="宋体"/>
          <w:color w:val="000000" w:themeColor="text1"/>
          <w:sz w:val="24"/>
          <w14:textFill>
            <w14:solidFill>
              <w14:schemeClr w14:val="tx1"/>
            </w14:solidFill>
          </w14:textFill>
        </w:rPr>
      </w:pPr>
      <w:r>
        <w:rPr>
          <w:rFonts w:ascii="Times New Roman" w:hAnsi="Times New Roman" w:cs="宋体"/>
          <w:b/>
          <w:color w:val="000000" w:themeColor="text1"/>
          <w:sz w:val="24"/>
          <w14:textFill>
            <w14:solidFill>
              <w14:schemeClr w14:val="tx1"/>
            </w14:solidFill>
          </w14:textFill>
        </w:rPr>
        <w:t>3.2.2</w:t>
      </w:r>
      <w:r>
        <w:rPr>
          <w:rFonts w:hint="eastAsia" w:ascii="Times New Roman" w:hAnsi="Times New Roman" w:cs="宋体"/>
          <w:b/>
          <w:color w:val="000000" w:themeColor="text1"/>
          <w:sz w:val="24"/>
          <w14:textFill>
            <w14:solidFill>
              <w14:schemeClr w14:val="tx1"/>
            </w14:solidFill>
          </w14:textFill>
        </w:rPr>
        <w:t>研讨式、讲座式、案例式、实践式和讲授式等多种授课模式相结合，提高创新素养。</w:t>
      </w:r>
      <w:r>
        <w:rPr>
          <w:rFonts w:hint="eastAsia" w:ascii="Times New Roman" w:hAnsi="Times New Roman" w:cs="宋体"/>
          <w:color w:val="000000" w:themeColor="text1"/>
          <w:sz w:val="24"/>
          <w14:textFill>
            <w14:solidFill>
              <w14:schemeClr w14:val="tx1"/>
            </w14:solidFill>
          </w14:textFill>
        </w:rPr>
        <w:t>李利平教授主持建设的《现代数学前沿》，作为湖南省研究生优质课程邀请相邻学科导师授课，拓宽学习广度，激发研究生创新思维。2</w:t>
      </w:r>
      <w:r>
        <w:rPr>
          <w:rFonts w:ascii="Times New Roman" w:hAnsi="Times New Roman" w:cs="宋体"/>
          <w:color w:val="000000" w:themeColor="text1"/>
          <w:sz w:val="24"/>
          <w14:textFill>
            <w14:solidFill>
              <w14:schemeClr w14:val="tx1"/>
            </w14:solidFill>
          </w14:textFill>
        </w:rPr>
        <w:t>02</w:t>
      </w:r>
      <w:r>
        <w:rPr>
          <w:rFonts w:hint="eastAsia" w:ascii="Times New Roman" w:hAnsi="Times New Roman" w:cs="宋体"/>
          <w:color w:val="000000" w:themeColor="text1"/>
          <w:sz w:val="24"/>
          <w14:textFill>
            <w14:solidFill>
              <w14:schemeClr w14:val="tx1"/>
            </w14:solidFill>
          </w14:textFill>
        </w:rPr>
        <w:t>1</w:t>
      </w:r>
      <w:r>
        <w:rPr>
          <w:rFonts w:ascii="Times New Roman" w:hAnsi="Times New Roman" w:cs="宋体"/>
          <w:color w:val="000000" w:themeColor="text1"/>
          <w:sz w:val="24"/>
          <w14:textFill>
            <w14:solidFill>
              <w14:schemeClr w14:val="tx1"/>
            </w14:solidFill>
          </w14:textFill>
        </w:rPr>
        <w:t>年</w:t>
      </w:r>
      <w:r>
        <w:rPr>
          <w:rFonts w:hint="eastAsia" w:ascii="Times New Roman" w:hAnsi="Times New Roman" w:cs="宋体"/>
          <w:color w:val="000000" w:themeColor="text1"/>
          <w:sz w:val="24"/>
          <w14:textFill>
            <w14:solidFill>
              <w14:schemeClr w14:val="tx1"/>
            </w14:solidFill>
          </w14:textFill>
        </w:rPr>
        <w:t>，学科学位授权点获批湖南省研究生科研创新项目3项。</w:t>
      </w:r>
    </w:p>
    <w:p>
      <w:pPr>
        <w:keepNext w:val="0"/>
        <w:keepLines w:val="0"/>
        <w:pageBreakBefore w:val="0"/>
        <w:kinsoku/>
        <w:wordWrap/>
        <w:overflowPunct/>
        <w:topLinePunct w:val="0"/>
        <w:bidi w:val="0"/>
        <w:spacing w:line="360" w:lineRule="auto"/>
        <w:ind w:left="0" w:leftChars="0" w:firstLine="482" w:firstLineChars="200"/>
        <w:jc w:val="both"/>
        <w:textAlignment w:val="auto"/>
        <w:rPr>
          <w:rFonts w:ascii="Times New Roman" w:hAnsi="Times New Roman" w:cs="宋体"/>
          <w:b/>
          <w:color w:val="000000" w:themeColor="text1"/>
          <w:sz w:val="24"/>
          <w14:textFill>
            <w14:solidFill>
              <w14:schemeClr w14:val="tx1"/>
            </w14:solidFill>
          </w14:textFill>
        </w:rPr>
      </w:pPr>
      <w:r>
        <w:rPr>
          <w:rFonts w:ascii="Times New Roman" w:hAnsi="Times New Roman" w:cs="宋体"/>
          <w:b/>
          <w:color w:val="000000" w:themeColor="text1"/>
          <w:sz w:val="24"/>
          <w14:textFill>
            <w14:solidFill>
              <w14:schemeClr w14:val="tx1"/>
            </w14:solidFill>
          </w14:textFill>
        </w:rPr>
        <w:t xml:space="preserve">3.3  </w:t>
      </w:r>
      <w:r>
        <w:rPr>
          <w:rFonts w:hint="eastAsia" w:ascii="Times New Roman" w:hAnsi="Times New Roman" w:cs="宋体"/>
          <w:b/>
          <w:color w:val="000000" w:themeColor="text1"/>
          <w:sz w:val="24"/>
          <w14:textFill>
            <w14:solidFill>
              <w14:schemeClr w14:val="tx1"/>
            </w14:solidFill>
          </w14:textFill>
        </w:rPr>
        <w:t>开展课程思政教改专项建设，有效落实立德树人根本任务。</w:t>
      </w:r>
      <w:r>
        <w:rPr>
          <w:rFonts w:ascii="Times New Roman" w:hAnsi="Times New Roman" w:cs="宋体"/>
          <w:color w:val="000000" w:themeColor="text1"/>
          <w:sz w:val="24"/>
          <w14:textFill>
            <w14:solidFill>
              <w14:schemeClr w14:val="tx1"/>
            </w14:solidFill>
          </w14:textFill>
        </w:rPr>
        <w:t>实施博士研究生政治课程建设体系创新计划</w:t>
      </w:r>
      <w:r>
        <w:rPr>
          <w:rFonts w:hint="eastAsia" w:ascii="Times New Roman" w:hAnsi="Times New Roman" w:cs="宋体"/>
          <w:color w:val="000000" w:themeColor="text1"/>
          <w:sz w:val="24"/>
          <w14:textFill>
            <w14:solidFill>
              <w14:schemeClr w14:val="tx1"/>
            </w14:solidFill>
          </w14:textFill>
        </w:rPr>
        <w:t>，建立了专家讲座、信息化管理（“课堂派”为媒介）、社会实践“三位一体”的思想政治理论课教学新模式。</w:t>
      </w:r>
    </w:p>
    <w:p>
      <w:pPr>
        <w:keepNext w:val="0"/>
        <w:keepLines w:val="0"/>
        <w:pageBreakBefore w:val="0"/>
        <w:tabs>
          <w:tab w:val="left" w:pos="1113"/>
        </w:tabs>
        <w:kinsoku/>
        <w:wordWrap/>
        <w:overflowPunct/>
        <w:topLinePunct w:val="0"/>
        <w:bidi w:val="0"/>
        <w:adjustRightInd w:val="0"/>
        <w:snapToGrid w:val="0"/>
        <w:spacing w:line="360" w:lineRule="auto"/>
        <w:ind w:left="0" w:leftChars="0" w:firstLine="482" w:firstLineChars="200"/>
        <w:jc w:val="both"/>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b/>
          <w:color w:val="000000" w:themeColor="text1"/>
          <w:sz w:val="24"/>
          <w14:textFill>
            <w14:solidFill>
              <w14:schemeClr w14:val="tx1"/>
            </w14:solidFill>
          </w14:textFill>
        </w:rPr>
        <w:t>3</w:t>
      </w:r>
      <w:r>
        <w:rPr>
          <w:rFonts w:ascii="Times New Roman" w:hAnsi="Times New Roman" w:cs="宋体"/>
          <w:b/>
          <w:color w:val="000000" w:themeColor="text1"/>
          <w:sz w:val="24"/>
          <w14:textFill>
            <w14:solidFill>
              <w14:schemeClr w14:val="tx1"/>
            </w14:solidFill>
          </w14:textFill>
        </w:rPr>
        <w:t>.4</w:t>
      </w:r>
      <w:r>
        <w:rPr>
          <w:rFonts w:hint="eastAsia" w:ascii="Times New Roman" w:hAnsi="Times New Roman" w:cs="宋体"/>
          <w:b/>
          <w:color w:val="000000" w:themeColor="text1"/>
          <w:sz w:val="24"/>
          <w14:textFill>
            <w14:solidFill>
              <w14:schemeClr w14:val="tx1"/>
            </w14:solidFill>
          </w14:textFill>
        </w:rPr>
        <w:t xml:space="preserve"> </w:t>
      </w:r>
      <w:r>
        <w:rPr>
          <w:rFonts w:ascii="Times New Roman" w:hAnsi="Times New Roman" w:cs="宋体"/>
          <w:b/>
          <w:color w:val="000000" w:themeColor="text1"/>
          <w:sz w:val="24"/>
          <w14:textFill>
            <w14:solidFill>
              <w14:schemeClr w14:val="tx1"/>
            </w14:solidFill>
          </w14:textFill>
        </w:rPr>
        <w:t xml:space="preserve"> </w:t>
      </w:r>
      <w:r>
        <w:rPr>
          <w:rFonts w:hint="eastAsia" w:ascii="Times New Roman" w:hAnsi="Times New Roman" w:cs="宋体"/>
          <w:b/>
          <w:color w:val="000000" w:themeColor="text1"/>
          <w:sz w:val="24"/>
          <w14:textFill>
            <w14:solidFill>
              <w14:schemeClr w14:val="tx1"/>
            </w14:solidFill>
          </w14:textFill>
        </w:rPr>
        <w:t>构建以</w:t>
      </w:r>
      <w:r>
        <w:rPr>
          <w:rFonts w:ascii="Times New Roman" w:hAnsi="Times New Roman" w:cs="宋体"/>
          <w:b/>
          <w:color w:val="000000" w:themeColor="text1"/>
          <w:sz w:val="24"/>
          <w14:textFill>
            <w14:solidFill>
              <w14:schemeClr w14:val="tx1"/>
            </w14:solidFill>
          </w14:textFill>
        </w:rPr>
        <w:t>“</w:t>
      </w:r>
      <w:r>
        <w:rPr>
          <w:rFonts w:hint="eastAsia" w:ascii="Times New Roman" w:hAnsi="Times New Roman" w:cs="宋体"/>
          <w:b/>
          <w:color w:val="000000" w:themeColor="text1"/>
          <w:sz w:val="24"/>
          <w14:textFill>
            <w14:solidFill>
              <w14:schemeClr w14:val="tx1"/>
            </w14:solidFill>
          </w14:textFill>
        </w:rPr>
        <w:t>督促检查、质量评估、研究问题、指导建议</w:t>
      </w:r>
      <w:r>
        <w:rPr>
          <w:rFonts w:ascii="Times New Roman" w:hAnsi="Times New Roman" w:cs="宋体"/>
          <w:b/>
          <w:color w:val="000000" w:themeColor="text1"/>
          <w:sz w:val="24"/>
          <w14:textFill>
            <w14:solidFill>
              <w14:schemeClr w14:val="tx1"/>
            </w14:solidFill>
          </w14:textFill>
        </w:rPr>
        <w:t>”</w:t>
      </w:r>
      <w:r>
        <w:rPr>
          <w:rFonts w:hint="eastAsia" w:ascii="Times New Roman" w:hAnsi="Times New Roman" w:cs="宋体"/>
          <w:b/>
          <w:color w:val="000000" w:themeColor="text1"/>
          <w:sz w:val="24"/>
          <w14:textFill>
            <w14:solidFill>
              <w14:schemeClr w14:val="tx1"/>
            </w14:solidFill>
          </w14:textFill>
        </w:rPr>
        <w:t>为原则的</w:t>
      </w:r>
      <w:r>
        <w:rPr>
          <w:rFonts w:ascii="Times New Roman" w:hAnsi="Times New Roman" w:cs="宋体"/>
          <w:b/>
          <w:color w:val="000000" w:themeColor="text1"/>
          <w:sz w:val="24"/>
          <w14:textFill>
            <w14:solidFill>
              <w14:schemeClr w14:val="tx1"/>
            </w14:solidFill>
          </w14:textFill>
        </w:rPr>
        <w:t>“</w:t>
      </w:r>
      <w:r>
        <w:rPr>
          <w:rFonts w:hint="eastAsia" w:ascii="Times New Roman" w:hAnsi="Times New Roman" w:cs="宋体"/>
          <w:b/>
          <w:color w:val="000000" w:themeColor="text1"/>
          <w:sz w:val="24"/>
          <w14:textFill>
            <w14:solidFill>
              <w14:schemeClr w14:val="tx1"/>
            </w14:solidFill>
          </w14:textFill>
        </w:rPr>
        <w:t>全方位、全过程</w:t>
      </w:r>
      <w:r>
        <w:rPr>
          <w:rFonts w:ascii="Times New Roman" w:hAnsi="Times New Roman" w:cs="宋体"/>
          <w:b/>
          <w:color w:val="000000" w:themeColor="text1"/>
          <w:sz w:val="24"/>
          <w14:textFill>
            <w14:solidFill>
              <w14:schemeClr w14:val="tx1"/>
            </w14:solidFill>
          </w14:textFill>
        </w:rPr>
        <w:t>”</w:t>
      </w:r>
      <w:r>
        <w:rPr>
          <w:rFonts w:hint="eastAsia" w:ascii="Times New Roman" w:hAnsi="Times New Roman" w:cs="宋体"/>
          <w:b/>
          <w:color w:val="000000" w:themeColor="text1"/>
          <w:sz w:val="24"/>
          <w14:textFill>
            <w14:solidFill>
              <w14:schemeClr w14:val="tx1"/>
            </w14:solidFill>
          </w14:textFill>
        </w:rPr>
        <w:t>质量监控与评价体系。</w:t>
      </w:r>
      <w:r>
        <w:rPr>
          <w:rFonts w:hint="eastAsia" w:ascii="Times New Roman" w:hAnsi="Times New Roman" w:cs="宋体"/>
          <w:color w:val="000000" w:themeColor="text1"/>
          <w:sz w:val="24"/>
          <w14:textFill>
            <w14:solidFill>
              <w14:schemeClr w14:val="tx1"/>
            </w14:solidFill>
          </w14:textFill>
        </w:rPr>
        <w:t>（1）完善招生制度，提高生源质量。实行</w:t>
      </w:r>
      <w:r>
        <w:rPr>
          <w:rFonts w:ascii="Times New Roman" w:hAnsi="Times New Roman" w:cs="宋体"/>
          <w:color w:val="000000" w:themeColor="text1"/>
          <w:sz w:val="24"/>
          <w14:textFill>
            <w14:solidFill>
              <w14:schemeClr w14:val="tx1"/>
            </w14:solidFill>
          </w14:textFill>
        </w:rPr>
        <w:t>“</w:t>
      </w:r>
      <w:r>
        <w:rPr>
          <w:rFonts w:hint="eastAsia" w:ascii="Times New Roman" w:hAnsi="Times New Roman" w:cs="宋体"/>
          <w:color w:val="000000" w:themeColor="text1"/>
          <w:sz w:val="24"/>
          <w14:textFill>
            <w14:solidFill>
              <w14:schemeClr w14:val="tx1"/>
            </w14:solidFill>
          </w14:textFill>
        </w:rPr>
        <w:t>申请-考核</w:t>
      </w:r>
      <w:r>
        <w:rPr>
          <w:rFonts w:ascii="Times New Roman" w:hAnsi="Times New Roman" w:cs="宋体"/>
          <w:color w:val="000000" w:themeColor="text1"/>
          <w:sz w:val="24"/>
          <w14:textFill>
            <w14:solidFill>
              <w14:schemeClr w14:val="tx1"/>
            </w14:solidFill>
          </w14:textFill>
        </w:rPr>
        <w:t>”</w:t>
      </w:r>
      <w:r>
        <w:rPr>
          <w:rFonts w:hint="eastAsia" w:ascii="Times New Roman" w:hAnsi="Times New Roman" w:cs="宋体"/>
          <w:color w:val="000000" w:themeColor="text1"/>
          <w:sz w:val="24"/>
          <w14:textFill>
            <w14:solidFill>
              <w14:schemeClr w14:val="tx1"/>
            </w14:solidFill>
          </w14:textFill>
        </w:rPr>
        <w:t>制博士招生方式，成立研究生招生工作小组、学科考核小组，重点审核考生申请材料，确定</w:t>
      </w:r>
      <w:r>
        <w:rPr>
          <w:rFonts w:ascii="Times New Roman" w:hAnsi="Times New Roman" w:cs="宋体"/>
          <w:color w:val="000000" w:themeColor="text1"/>
          <w:sz w:val="24"/>
          <w14:textFill>
            <w14:solidFill>
              <w14:schemeClr w14:val="tx1"/>
            </w14:solidFill>
          </w14:textFill>
        </w:rPr>
        <w:t>“</w:t>
      </w:r>
      <w:r>
        <w:rPr>
          <w:rFonts w:hint="eastAsia" w:ascii="Times New Roman" w:hAnsi="Times New Roman" w:cs="宋体"/>
          <w:color w:val="000000" w:themeColor="text1"/>
          <w:sz w:val="24"/>
          <w14:textFill>
            <w14:solidFill>
              <w14:schemeClr w14:val="tx1"/>
            </w14:solidFill>
          </w14:textFill>
        </w:rPr>
        <w:t>终极面试</w:t>
      </w:r>
      <w:r>
        <w:rPr>
          <w:rFonts w:ascii="Times New Roman" w:hAnsi="Times New Roman" w:cs="宋体"/>
          <w:color w:val="000000" w:themeColor="text1"/>
          <w:sz w:val="24"/>
          <w14:textFill>
            <w14:solidFill>
              <w14:schemeClr w14:val="tx1"/>
            </w14:solidFill>
          </w14:textFill>
        </w:rPr>
        <w:t>”</w:t>
      </w:r>
      <w:r>
        <w:rPr>
          <w:rFonts w:hint="eastAsia" w:ascii="Times New Roman" w:hAnsi="Times New Roman" w:cs="宋体"/>
          <w:color w:val="000000" w:themeColor="text1"/>
          <w:sz w:val="24"/>
          <w14:textFill>
            <w14:solidFill>
              <w14:schemeClr w14:val="tx1"/>
            </w14:solidFill>
          </w14:textFill>
        </w:rPr>
        <w:t>人选；（2）健全组织管理，强化制度建设。充分发挥学术委员会、学位评定分委员会在导师选聘、研究生培养方案审定、课程建设等方面作用。制定《课程学习、考核及成绩存档实施管理办法》等相关文件，保障制度落实；（3）构建校、院、学科学位授权点、教学督导、研究生参与的课程质量评价体系。通过听课、座谈、调研、问卷等方式，对课程的安排管理情况、教学情况、研究生对课堂的反馈情况以及学位论文工作执行情况等进行监督、检查与指导，结果作为招生、职称、聘用、评优等的重要参考依据；（4）建立毕业生发展质量调查和反馈制度。定期听取用人单位意见并开展分析，及时调整培养方案与课程设置。</w:t>
      </w:r>
    </w:p>
    <w:p>
      <w:pPr>
        <w:keepNext w:val="0"/>
        <w:keepLines w:val="0"/>
        <w:pageBreakBefore w:val="0"/>
        <w:tabs>
          <w:tab w:val="left" w:pos="1113"/>
        </w:tabs>
        <w:kinsoku/>
        <w:wordWrap/>
        <w:overflowPunct/>
        <w:topLinePunct w:val="0"/>
        <w:bidi w:val="0"/>
        <w:adjustRightInd w:val="0"/>
        <w:snapToGrid w:val="0"/>
        <w:spacing w:line="360" w:lineRule="auto"/>
        <w:ind w:left="0" w:leftChars="0" w:firstLine="602" w:firstLineChars="200"/>
        <w:jc w:val="both"/>
        <w:textAlignment w:val="auto"/>
        <w:rPr>
          <w:rFonts w:ascii="Times New Roman" w:hAnsi="Times New Roman" w:cs="宋体"/>
          <w:b/>
          <w:color w:val="000000" w:themeColor="text1"/>
          <w:sz w:val="30"/>
          <w:szCs w:val="30"/>
          <w14:textFill>
            <w14:solidFill>
              <w14:schemeClr w14:val="tx1"/>
            </w14:solidFill>
          </w14:textFill>
        </w:rPr>
      </w:pPr>
      <w:r>
        <w:rPr>
          <w:rFonts w:ascii="Times New Roman" w:hAnsi="Times New Roman" w:cs="宋体"/>
          <w:b/>
          <w:color w:val="000000" w:themeColor="text1"/>
          <w:sz w:val="30"/>
          <w:szCs w:val="30"/>
          <w14:textFill>
            <w14:solidFill>
              <w14:schemeClr w14:val="tx1"/>
            </w14:solidFill>
          </w14:textFill>
        </w:rPr>
        <w:t>4</w:t>
      </w:r>
      <w:r>
        <w:rPr>
          <w:rFonts w:hint="eastAsia" w:ascii="Times New Roman" w:hAnsi="Times New Roman" w:cs="宋体"/>
          <w:b/>
          <w:color w:val="000000" w:themeColor="text1"/>
          <w:sz w:val="30"/>
          <w:szCs w:val="30"/>
          <w14:textFill>
            <w14:solidFill>
              <w14:schemeClr w14:val="tx1"/>
            </w14:solidFill>
          </w14:textFill>
        </w:rPr>
        <w:t>．研究生教育创新工程和专业能力提升工程项目的实施和成效情况</w:t>
      </w:r>
    </w:p>
    <w:p>
      <w:pPr>
        <w:keepNext w:val="0"/>
        <w:keepLines w:val="0"/>
        <w:pageBreakBefore w:val="0"/>
        <w:kinsoku/>
        <w:wordWrap/>
        <w:overflowPunct/>
        <w:topLinePunct w:val="0"/>
        <w:bidi w:val="0"/>
        <w:spacing w:line="360" w:lineRule="auto"/>
        <w:ind w:left="0" w:leftChars="0" w:firstLine="480" w:firstLineChars="200"/>
        <w:jc w:val="both"/>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学科学位授权点注重加强课程教学体系和导师指导体系两大体系建设，服务于创新型高层次人才培养的需要。根据二级学科方向特色，固定必修基础课程，在遵循教育规律和人才成长规律的前提下，根据研究生的知识基础和学习能力确定方向选修课程，确保满足学科发展前沿和创新思维培养的要求。加强导师指导体系建设，重塑研究生导师团队指导体系，满足研究生学业和能力指导的各种需求。同时，学科学位授权点也注重引导博士研究生汲取学术创新的源泉、激发创新灵感、浓厚科研兴趣，树立科学实干精神，内化创新动力，通过开展多渠道国（境）外访学，邀请国（境）外学者开设讲座、短期课程或创办研讨班，组织研究生在国际学术会议上提交论文或作报告，打造全方位、多层次、宽领域的研究生多样化培养体系。该培养模式实施以来，研究生学术创新和实践创新能力得到显著提升。</w:t>
      </w:r>
    </w:p>
    <w:p>
      <w:pPr>
        <w:keepNext w:val="0"/>
        <w:keepLines w:val="0"/>
        <w:pageBreakBefore w:val="0"/>
        <w:kinsoku/>
        <w:wordWrap/>
        <w:overflowPunct/>
        <w:topLinePunct w:val="0"/>
        <w:bidi w:val="0"/>
        <w:spacing w:line="360" w:lineRule="auto"/>
        <w:ind w:left="0" w:leftChars="0" w:firstLine="480" w:firstLineChars="200"/>
        <w:jc w:val="both"/>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2</w:t>
      </w:r>
      <w:r>
        <w:rPr>
          <w:rFonts w:ascii="Times New Roman" w:hAnsi="Times New Roman" w:cs="宋体"/>
          <w:color w:val="000000" w:themeColor="text1"/>
          <w:sz w:val="24"/>
          <w14:textFill>
            <w14:solidFill>
              <w14:schemeClr w14:val="tx1"/>
            </w14:solidFill>
          </w14:textFill>
        </w:rPr>
        <w:t>02</w:t>
      </w:r>
      <w:r>
        <w:rPr>
          <w:rFonts w:hint="eastAsia" w:ascii="Times New Roman" w:hAnsi="Times New Roman" w:cs="宋体"/>
          <w:color w:val="000000" w:themeColor="text1"/>
          <w:sz w:val="24"/>
          <w14:textFill>
            <w14:solidFill>
              <w14:schemeClr w14:val="tx1"/>
            </w14:solidFill>
          </w14:textFill>
        </w:rPr>
        <w:t>1</w:t>
      </w:r>
      <w:r>
        <w:rPr>
          <w:rFonts w:ascii="Times New Roman" w:hAnsi="Times New Roman" w:cs="宋体"/>
          <w:color w:val="000000" w:themeColor="text1"/>
          <w:sz w:val="24"/>
          <w14:textFill>
            <w14:solidFill>
              <w14:schemeClr w14:val="tx1"/>
            </w14:solidFill>
          </w14:textFill>
        </w:rPr>
        <w:t>年</w:t>
      </w:r>
      <w:r>
        <w:rPr>
          <w:rFonts w:hint="eastAsia" w:ascii="Times New Roman" w:hAnsi="Times New Roman" w:cs="宋体"/>
          <w:color w:val="000000" w:themeColor="text1"/>
          <w:sz w:val="24"/>
          <w14:textFill>
            <w14:solidFill>
              <w14:schemeClr w14:val="tx1"/>
            </w14:solidFill>
          </w14:textFill>
        </w:rPr>
        <w:t>，</w:t>
      </w:r>
      <w:r>
        <w:rPr>
          <w:rFonts w:ascii="Times New Roman" w:hAnsi="Times New Roman" w:cs="宋体"/>
          <w:color w:val="000000" w:themeColor="text1"/>
          <w:sz w:val="24"/>
          <w14:textFill>
            <w14:solidFill>
              <w14:schemeClr w14:val="tx1"/>
            </w14:solidFill>
          </w14:textFill>
        </w:rPr>
        <w:t>学科学位授权点</w:t>
      </w:r>
      <w:r>
        <w:rPr>
          <w:rFonts w:hint="eastAsia" w:ascii="Times New Roman" w:hAnsi="Times New Roman" w:cs="宋体"/>
          <w:color w:val="000000" w:themeColor="text1"/>
          <w:sz w:val="24"/>
          <w14:textFill>
            <w14:solidFill>
              <w14:schemeClr w14:val="tx1"/>
            </w14:solidFill>
          </w14:textFill>
        </w:rPr>
        <w:t>完成了湖南省研究生教学平台项目-优质课程《现代数学前沿》和《小波分析导论》的中期考核。</w:t>
      </w:r>
    </w:p>
    <w:p>
      <w:pPr>
        <w:keepNext w:val="0"/>
        <w:keepLines w:val="0"/>
        <w:pageBreakBefore w:val="0"/>
        <w:kinsoku/>
        <w:wordWrap/>
        <w:overflowPunct/>
        <w:topLinePunct w:val="0"/>
        <w:bidi w:val="0"/>
        <w:spacing w:line="360" w:lineRule="auto"/>
        <w:ind w:left="0" w:leftChars="0" w:firstLine="480" w:firstLineChars="200"/>
        <w:jc w:val="both"/>
        <w:textAlignment w:val="auto"/>
        <w:rPr>
          <w:rFonts w:hint="eastAsia"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研究生科研获奖情况： 3人次获得湖南省优秀毕业生。2名博士、1名硕士研究生获得湖南省研究生创新项目立项（科研创新项目数据我已更新）。2名博士研究生、5名硕士研究生获得国家奖学金。获得博士研究生一等学业奖学金4人次，博士研究生二等学业奖学金6人次。获得硕士研究生一等学业奖学金9人次，硕士研究生二等学业奖学金36人次。获得全国研究生数学建模竞赛一等奖1项，二等奖1个，三等奖2；湖南省研究生数学建模竞赛二等奖2个，三等奖2项。研究生发表学术论文近60篇，其中SCI论文42篇，EI2篇</w:t>
      </w:r>
      <w:r>
        <w:rPr>
          <w:rFonts w:hint="eastAsia" w:ascii="Times New Roman" w:hAnsi="Times New Roman" w:cs="宋体"/>
          <w:color w:val="000000" w:themeColor="text1"/>
          <w:sz w:val="24"/>
          <w:lang w:eastAsia="zh-CN"/>
          <w14:textFill>
            <w14:solidFill>
              <w14:schemeClr w14:val="tx1"/>
            </w14:solidFill>
          </w14:textFill>
        </w:rPr>
        <w:t>，</w:t>
      </w:r>
      <w:r>
        <w:rPr>
          <w:rFonts w:hint="eastAsia" w:ascii="Times New Roman" w:hAnsi="Times New Roman" w:cs="宋体"/>
          <w:color w:val="000000" w:themeColor="text1"/>
          <w:sz w:val="24"/>
          <w14:textFill>
            <w14:solidFill>
              <w14:schemeClr w14:val="tx1"/>
            </w14:solidFill>
          </w14:textFill>
        </w:rPr>
        <w:t>部分论文发表在J SCI COMPUT，DISCRETE MATH，Proc. Roy. Soc. Edinburgh Sect. A等高水平期刊。</w:t>
      </w:r>
    </w:p>
    <w:p>
      <w:pPr>
        <w:keepNext w:val="0"/>
        <w:keepLines w:val="0"/>
        <w:pageBreakBefore w:val="0"/>
        <w:kinsoku/>
        <w:wordWrap/>
        <w:overflowPunct/>
        <w:topLinePunct w:val="0"/>
        <w:bidi w:val="0"/>
        <w:spacing w:line="360" w:lineRule="auto"/>
        <w:ind w:left="0" w:leftChars="0" w:firstLine="602" w:firstLineChars="200"/>
        <w:jc w:val="both"/>
        <w:textAlignment w:val="auto"/>
        <w:rPr>
          <w:rFonts w:ascii="Times New Roman" w:hAnsi="Times New Roman" w:cs="宋体"/>
          <w:b/>
          <w:color w:val="000000" w:themeColor="text1"/>
          <w:sz w:val="30"/>
          <w:szCs w:val="30"/>
          <w14:textFill>
            <w14:solidFill>
              <w14:schemeClr w14:val="tx1"/>
            </w14:solidFill>
          </w14:textFill>
        </w:rPr>
      </w:pPr>
      <w:r>
        <w:rPr>
          <w:rFonts w:ascii="Times New Roman" w:hAnsi="Times New Roman" w:cs="宋体"/>
          <w:b/>
          <w:color w:val="000000" w:themeColor="text1"/>
          <w:sz w:val="30"/>
          <w:szCs w:val="30"/>
          <w14:textFill>
            <w14:solidFill>
              <w14:schemeClr w14:val="tx1"/>
            </w14:solidFill>
          </w14:textFill>
        </w:rPr>
        <w:t>5</w:t>
      </w:r>
      <w:r>
        <w:rPr>
          <w:rFonts w:hint="eastAsia" w:ascii="Times New Roman" w:hAnsi="Times New Roman" w:cs="宋体"/>
          <w:b/>
          <w:color w:val="000000" w:themeColor="text1"/>
          <w:sz w:val="30"/>
          <w:szCs w:val="30"/>
          <w14:textFill>
            <w14:solidFill>
              <w14:schemeClr w14:val="tx1"/>
            </w14:solidFill>
          </w14:textFill>
        </w:rPr>
        <w:t>．学术训练与学术交流情况</w:t>
      </w:r>
    </w:p>
    <w:p>
      <w:pPr>
        <w:keepNext w:val="0"/>
        <w:keepLines w:val="0"/>
        <w:pageBreakBefore w:val="0"/>
        <w:kinsoku/>
        <w:wordWrap/>
        <w:overflowPunct/>
        <w:topLinePunct w:val="0"/>
        <w:bidi w:val="0"/>
        <w:spacing w:line="360" w:lineRule="auto"/>
        <w:ind w:left="0" w:leftChars="0" w:firstLine="480" w:firstLineChars="200"/>
        <w:jc w:val="both"/>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学科学位授权点培养博士研究生的学术训练包括基本知识体系构建、文献研读与科研动态追踪、科研实验、学术交流、研究结果的整理、科研论文的撰写与发表、科研项目立项等多方面。博士研究生的论文工作一般来源于国家级或省部级科研项目，承担其中的科研任务，在基于相应学术工作的基础上，博士生在授予学位之前需要提交一篇学位论文，经评审、答辩合格后方可取得学位。</w:t>
      </w:r>
    </w:p>
    <w:p>
      <w:pPr>
        <w:keepNext w:val="0"/>
        <w:keepLines w:val="0"/>
        <w:pageBreakBefore w:val="0"/>
        <w:kinsoku/>
        <w:wordWrap/>
        <w:overflowPunct/>
        <w:topLinePunct w:val="0"/>
        <w:bidi w:val="0"/>
        <w:spacing w:line="360" w:lineRule="auto"/>
        <w:ind w:left="0" w:leftChars="0" w:firstLine="480" w:firstLineChars="200"/>
        <w:jc w:val="both"/>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学科学位授权点非常重视学术交流，为研究生提供各种学术交流的机会，鼓励研究生积极参加学术报告，研究生年平均参加线上线下学术报告数十余次。2021年，学科学位授权点应邀出访参加学术交流近28人次，作报告16人次左右，邀请87余名著名学者来我院访问讲学（含线上），其中包括中山大学郭先平教授、香港中文大学曾铁勇教授、马萨诸塞大学达特茅斯分校王成教授、南开大学组合中心李学良教授等；并先后承办“十四五”学科规划座谈会暨2021年度计算与随机数学教育部重点实验室学术委员会会议”、“几何分析与非线性偏微分方程学术研讨会”、“快速算法及其应用研讨会”、“流体模拟高性能并行算法专题研讨会“等学术会议。</w:t>
      </w:r>
    </w:p>
    <w:p>
      <w:pPr>
        <w:keepNext w:val="0"/>
        <w:keepLines w:val="0"/>
        <w:pageBreakBefore w:val="0"/>
        <w:kinsoku/>
        <w:wordWrap/>
        <w:overflowPunct/>
        <w:topLinePunct w:val="0"/>
        <w:bidi w:val="0"/>
        <w:spacing w:line="360" w:lineRule="auto"/>
        <w:ind w:left="0" w:leftChars="0" w:firstLine="602" w:firstLineChars="200"/>
        <w:jc w:val="both"/>
        <w:textAlignment w:val="auto"/>
        <w:rPr>
          <w:rFonts w:ascii="Times New Roman" w:hAnsi="Times New Roman" w:cs="宋体"/>
          <w:b/>
          <w:color w:val="000000" w:themeColor="text1"/>
          <w:sz w:val="30"/>
          <w:szCs w:val="30"/>
          <w14:textFill>
            <w14:solidFill>
              <w14:schemeClr w14:val="tx1"/>
            </w14:solidFill>
          </w14:textFill>
        </w:rPr>
      </w:pPr>
      <w:r>
        <w:rPr>
          <w:rFonts w:ascii="Times New Roman" w:hAnsi="Times New Roman" w:cs="宋体"/>
          <w:b/>
          <w:color w:val="000000" w:themeColor="text1"/>
          <w:sz w:val="30"/>
          <w:szCs w:val="30"/>
          <w14:textFill>
            <w14:solidFill>
              <w14:schemeClr w14:val="tx1"/>
            </w14:solidFill>
          </w14:textFill>
        </w:rPr>
        <w:t>6</w:t>
      </w:r>
      <w:r>
        <w:rPr>
          <w:rFonts w:hint="eastAsia" w:ascii="Times New Roman" w:hAnsi="Times New Roman" w:cs="宋体"/>
          <w:b/>
          <w:color w:val="000000" w:themeColor="text1"/>
          <w:sz w:val="30"/>
          <w:szCs w:val="30"/>
          <w14:textFill>
            <w14:solidFill>
              <w14:schemeClr w14:val="tx1"/>
            </w14:solidFill>
          </w14:textFill>
        </w:rPr>
        <w:t>．学位论文质量保障体系建设情况</w:t>
      </w:r>
    </w:p>
    <w:p>
      <w:pPr>
        <w:keepNext w:val="0"/>
        <w:keepLines w:val="0"/>
        <w:pageBreakBefore w:val="0"/>
        <w:kinsoku/>
        <w:wordWrap/>
        <w:overflowPunct/>
        <w:topLinePunct w:val="0"/>
        <w:bidi w:val="0"/>
        <w:spacing w:line="360" w:lineRule="auto"/>
        <w:ind w:left="0" w:leftChars="0" w:firstLine="480" w:firstLineChars="200"/>
        <w:jc w:val="both"/>
        <w:textAlignment w:val="auto"/>
        <w:rPr>
          <w:rFonts w:ascii="Times New Roman" w:hAnsi="Times New Roman" w:cs="宋体"/>
          <w:color w:val="000000" w:themeColor="text1"/>
          <w:sz w:val="24"/>
          <w14:textFill>
            <w14:solidFill>
              <w14:schemeClr w14:val="tx1"/>
            </w14:solidFill>
          </w14:textFill>
        </w:rPr>
      </w:pPr>
      <w:r>
        <w:rPr>
          <w:rFonts w:ascii="Times New Roman" w:hAnsi="Times New Roman" w:cs="宋体"/>
          <w:color w:val="000000" w:themeColor="text1"/>
          <w:sz w:val="24"/>
          <w14:textFill>
            <w14:solidFill>
              <w14:schemeClr w14:val="tx1"/>
            </w14:solidFill>
          </w14:textFill>
        </w:rPr>
        <w:t>学科学位授权点严把学位论文质量关，综合研判学位论文“问题风险环节”与“问题风险学位论文”，进一步规范学位论文开题报告、中期考核、相似性检测、送审、答辩、学位讨论等环节，实行“问题风险论文”质量重点跟踪，严把质量关。</w:t>
      </w:r>
      <w:r>
        <w:rPr>
          <w:rFonts w:hint="eastAsia" w:ascii="Times New Roman" w:hAnsi="Times New Roman" w:cs="宋体"/>
          <w:color w:val="000000" w:themeColor="text1"/>
          <w:sz w:val="24"/>
          <w14:textFill>
            <w14:solidFill>
              <w14:schemeClr w14:val="tx1"/>
            </w14:solidFill>
          </w14:textFill>
        </w:rPr>
        <w:t>学位论文选题需符合专业培养目标，博士研究生应在入学后第二或第三学期内完成选题，初步确定论文题目，在导师指导下拟定论文工作计划。开题报告需公开举行报告会，由本学科学位授权点5人专家评审小组进行评审，并提出具体的评价和修改意见，确保选题的科学性和前瞻性。</w:t>
      </w:r>
    </w:p>
    <w:p>
      <w:pPr>
        <w:keepNext w:val="0"/>
        <w:keepLines w:val="0"/>
        <w:pageBreakBefore w:val="0"/>
        <w:widowControl/>
        <w:kinsoku/>
        <w:wordWrap/>
        <w:overflowPunct/>
        <w:topLinePunct w:val="0"/>
        <w:bidi w:val="0"/>
        <w:snapToGrid w:val="0"/>
        <w:spacing w:line="360" w:lineRule="auto"/>
        <w:ind w:left="0" w:leftChars="0" w:firstLine="480" w:firstLineChars="200"/>
        <w:jc w:val="both"/>
        <w:textAlignment w:val="auto"/>
        <w:rPr>
          <w:rFonts w:hint="eastAsia"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2</w:t>
      </w:r>
      <w:r>
        <w:rPr>
          <w:rFonts w:ascii="Times New Roman" w:hAnsi="Times New Roman" w:cs="宋体"/>
          <w:color w:val="000000" w:themeColor="text1"/>
          <w:sz w:val="24"/>
          <w14:textFill>
            <w14:solidFill>
              <w14:schemeClr w14:val="tx1"/>
            </w14:solidFill>
          </w14:textFill>
        </w:rPr>
        <w:t>02</w:t>
      </w:r>
      <w:r>
        <w:rPr>
          <w:rFonts w:hint="eastAsia" w:ascii="Times New Roman" w:hAnsi="Times New Roman" w:cs="宋体"/>
          <w:color w:val="000000" w:themeColor="text1"/>
          <w:sz w:val="24"/>
          <w14:textFill>
            <w14:solidFill>
              <w14:schemeClr w14:val="tx1"/>
            </w14:solidFill>
          </w14:textFill>
        </w:rPr>
        <w:t>1</w:t>
      </w:r>
      <w:r>
        <w:rPr>
          <w:rFonts w:ascii="Times New Roman" w:hAnsi="Times New Roman" w:cs="宋体"/>
          <w:color w:val="000000" w:themeColor="text1"/>
          <w:sz w:val="24"/>
          <w14:textFill>
            <w14:solidFill>
              <w14:schemeClr w14:val="tx1"/>
            </w14:solidFill>
          </w14:textFill>
        </w:rPr>
        <w:t>年</w:t>
      </w:r>
      <w:r>
        <w:rPr>
          <w:rFonts w:hint="eastAsia" w:ascii="Times New Roman" w:hAnsi="Times New Roman" w:cs="宋体"/>
          <w:color w:val="000000" w:themeColor="text1"/>
          <w:sz w:val="24"/>
          <w14:textFill>
            <w14:solidFill>
              <w14:schemeClr w14:val="tx1"/>
            </w14:solidFill>
          </w14:textFill>
        </w:rPr>
        <w:t>，学科学位授权点有11名博士研究生毕业，60</w:t>
      </w:r>
      <w:r>
        <w:rPr>
          <w:rFonts w:ascii="Times New Roman" w:hAnsi="Times New Roman" w:cs="宋体"/>
          <w:color w:val="000000" w:themeColor="text1"/>
          <w:sz w:val="24"/>
          <w14:textFill>
            <w14:solidFill>
              <w14:schemeClr w14:val="tx1"/>
            </w14:solidFill>
          </w14:textFill>
        </w:rPr>
        <w:t>名硕士研究生毕业</w:t>
      </w:r>
      <w:r>
        <w:rPr>
          <w:rFonts w:hint="eastAsia" w:ascii="Times New Roman" w:hAnsi="Times New Roman" w:cs="宋体"/>
          <w:color w:val="000000" w:themeColor="text1"/>
          <w:sz w:val="24"/>
          <w14:textFill>
            <w14:solidFill>
              <w14:schemeClr w14:val="tx1"/>
            </w14:solidFill>
          </w14:textFill>
        </w:rPr>
        <w:t>，在预答辩、盲审及答辩过程中受到专家的一致好评。在国家、湖南省和学校组织的学位论文抽检结果中表现为优秀或良好。获湖南省优秀博士、硕士学位论文共2篇（见下表）。</w:t>
      </w:r>
    </w:p>
    <w:p>
      <w:pPr>
        <w:keepNext w:val="0"/>
        <w:keepLines w:val="0"/>
        <w:pageBreakBefore w:val="0"/>
        <w:widowControl/>
        <w:kinsoku/>
        <w:wordWrap/>
        <w:overflowPunct/>
        <w:topLinePunct w:val="0"/>
        <w:bidi w:val="0"/>
        <w:snapToGrid w:val="0"/>
        <w:spacing w:line="360" w:lineRule="auto"/>
        <w:ind w:left="0" w:leftChars="0" w:firstLine="480" w:firstLineChars="200"/>
        <w:jc w:val="both"/>
        <w:textAlignment w:val="auto"/>
        <w:rPr>
          <w:rFonts w:hint="eastAsia" w:ascii="Times New Roman" w:hAnsi="Times New Roman" w:cs="宋体"/>
          <w:color w:val="000000" w:themeColor="text1"/>
          <w:sz w:val="24"/>
          <w14:textFill>
            <w14:solidFill>
              <w14:schemeClr w14:val="tx1"/>
            </w14:solidFill>
          </w14:textFill>
        </w:rPr>
      </w:pPr>
    </w:p>
    <w:p>
      <w:pPr>
        <w:keepNext w:val="0"/>
        <w:keepLines w:val="0"/>
        <w:pageBreakBefore w:val="0"/>
        <w:widowControl/>
        <w:kinsoku/>
        <w:wordWrap/>
        <w:overflowPunct/>
        <w:topLinePunct w:val="0"/>
        <w:bidi w:val="0"/>
        <w:snapToGrid w:val="0"/>
        <w:spacing w:line="360" w:lineRule="auto"/>
        <w:ind w:left="0" w:leftChars="0" w:firstLine="480" w:firstLineChars="200"/>
        <w:jc w:val="both"/>
        <w:textAlignment w:val="auto"/>
        <w:rPr>
          <w:rFonts w:hint="eastAsia" w:ascii="Times New Roman" w:hAnsi="Times New Roman" w:cs="宋体"/>
          <w:color w:val="000000" w:themeColor="text1"/>
          <w:sz w:val="24"/>
          <w14:textFill>
            <w14:solidFill>
              <w14:schemeClr w14:val="tx1"/>
            </w14:solidFill>
          </w14:textFill>
        </w:rPr>
      </w:pPr>
    </w:p>
    <w:tbl>
      <w:tblPr>
        <w:tblStyle w:val="8"/>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191"/>
        <w:gridCol w:w="1458"/>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88" w:type="dxa"/>
            <w:vAlign w:val="center"/>
          </w:tcPr>
          <w:p>
            <w:pPr>
              <w:jc w:val="center"/>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作者</w:t>
            </w:r>
          </w:p>
        </w:tc>
        <w:tc>
          <w:tcPr>
            <w:tcW w:w="3191" w:type="dxa"/>
            <w:vAlign w:val="center"/>
          </w:tcPr>
          <w:p>
            <w:pPr>
              <w:jc w:val="center"/>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标题</w:t>
            </w:r>
          </w:p>
        </w:tc>
        <w:tc>
          <w:tcPr>
            <w:tcW w:w="1458" w:type="dxa"/>
            <w:vAlign w:val="center"/>
          </w:tcPr>
          <w:p>
            <w:pPr>
              <w:jc w:val="center"/>
              <w:rPr>
                <w:rFonts w:hint="eastAsia"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导师</w:t>
            </w:r>
          </w:p>
          <w:p>
            <w:pPr>
              <w:jc w:val="center"/>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姓名</w:t>
            </w:r>
          </w:p>
        </w:tc>
        <w:tc>
          <w:tcPr>
            <w:tcW w:w="2863" w:type="dxa"/>
            <w:vAlign w:val="center"/>
          </w:tcPr>
          <w:p>
            <w:pPr>
              <w:jc w:val="center"/>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8" w:type="dxa"/>
            <w:vAlign w:val="center"/>
          </w:tcPr>
          <w:p>
            <w:pPr>
              <w:widowControl/>
              <w:jc w:val="center"/>
              <w:textAlignment w:val="bottom"/>
              <w:rPr>
                <w:rFonts w:ascii="Times New Roman" w:hAnsi="Times New Roman" w:cs="宋体"/>
                <w:color w:val="000000"/>
                <w:sz w:val="20"/>
                <w:szCs w:val="20"/>
              </w:rPr>
            </w:pPr>
            <w:r>
              <w:rPr>
                <w:rFonts w:hint="eastAsia" w:ascii="Times New Roman" w:hAnsi="Times New Roman" w:cs="宋体"/>
                <w:color w:val="000000"/>
                <w:kern w:val="0"/>
                <w:sz w:val="20"/>
                <w:szCs w:val="20"/>
                <w:lang w:bidi="ar"/>
              </w:rPr>
              <w:t>李德琼</w:t>
            </w:r>
          </w:p>
        </w:tc>
        <w:tc>
          <w:tcPr>
            <w:tcW w:w="3191" w:type="dxa"/>
            <w:vAlign w:val="center"/>
          </w:tcPr>
          <w:p>
            <w:pPr>
              <w:widowControl/>
              <w:jc w:val="center"/>
              <w:textAlignment w:val="bottom"/>
              <w:rPr>
                <w:rFonts w:ascii="Times New Roman" w:hAnsi="Times New Roman" w:cs="宋体"/>
                <w:color w:val="000000"/>
                <w:sz w:val="20"/>
                <w:szCs w:val="20"/>
              </w:rPr>
            </w:pPr>
            <w:r>
              <w:rPr>
                <w:rFonts w:hint="eastAsia" w:ascii="Times New Roman" w:hAnsi="Times New Roman" w:cs="宋体"/>
                <w:color w:val="000000"/>
                <w:kern w:val="0"/>
                <w:sz w:val="20"/>
                <w:szCs w:val="20"/>
                <w:lang w:bidi="ar"/>
              </w:rPr>
              <w:t>图的谱和 zetazetazeta 函</w:t>
            </w:r>
          </w:p>
        </w:tc>
        <w:tc>
          <w:tcPr>
            <w:tcW w:w="1458" w:type="dxa"/>
            <w:vAlign w:val="center"/>
          </w:tcPr>
          <w:p>
            <w:pPr>
              <w:widowControl/>
              <w:jc w:val="center"/>
              <w:textAlignment w:val="bottom"/>
              <w:rPr>
                <w:rFonts w:ascii="Times New Roman" w:hAnsi="Times New Roman" w:cs="宋体"/>
                <w:color w:val="000000"/>
                <w:sz w:val="20"/>
                <w:szCs w:val="20"/>
              </w:rPr>
            </w:pPr>
            <w:r>
              <w:rPr>
                <w:rFonts w:hint="eastAsia" w:ascii="Times New Roman" w:hAnsi="Times New Roman" w:cs="宋体"/>
                <w:color w:val="000000"/>
                <w:kern w:val="0"/>
                <w:sz w:val="20"/>
                <w:szCs w:val="20"/>
                <w:lang w:bidi="ar"/>
              </w:rPr>
              <w:t>候耀平</w:t>
            </w:r>
          </w:p>
        </w:tc>
        <w:tc>
          <w:tcPr>
            <w:tcW w:w="2863" w:type="dxa"/>
            <w:vAlign w:val="center"/>
          </w:tcPr>
          <w:p>
            <w:pPr>
              <w:jc w:val="center"/>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湖南省优秀博士学位论文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8" w:type="dxa"/>
            <w:vAlign w:val="center"/>
          </w:tcPr>
          <w:p>
            <w:pPr>
              <w:widowControl/>
              <w:jc w:val="center"/>
              <w:textAlignment w:val="bottom"/>
              <w:rPr>
                <w:rFonts w:ascii="Times New Roman" w:hAnsi="Times New Roman" w:cs="宋体"/>
                <w:color w:val="000000"/>
                <w:sz w:val="20"/>
                <w:szCs w:val="20"/>
              </w:rPr>
            </w:pPr>
            <w:r>
              <w:rPr>
                <w:rFonts w:hint="eastAsia" w:ascii="Times New Roman" w:hAnsi="Times New Roman" w:cs="宋体"/>
                <w:color w:val="000000"/>
                <w:kern w:val="0"/>
                <w:sz w:val="20"/>
                <w:szCs w:val="20"/>
                <w:lang w:bidi="ar"/>
              </w:rPr>
              <w:t>付秀群</w:t>
            </w:r>
          </w:p>
        </w:tc>
        <w:tc>
          <w:tcPr>
            <w:tcW w:w="3191" w:type="dxa"/>
            <w:vAlign w:val="center"/>
          </w:tcPr>
          <w:p>
            <w:pPr>
              <w:widowControl/>
              <w:jc w:val="center"/>
              <w:textAlignment w:val="bottom"/>
              <w:rPr>
                <w:rStyle w:val="21"/>
                <w:rFonts w:ascii="Times New Roman" w:hAnsi="Times New Roman"/>
                <w:lang w:bidi="ar"/>
              </w:rPr>
            </w:pPr>
            <w:r>
              <w:rPr>
                <w:rFonts w:hint="eastAsia" w:ascii="Times New Roman" w:hAnsi="Times New Roman" w:cs="宋体"/>
                <w:color w:val="000000"/>
                <w:kern w:val="0"/>
                <w:sz w:val="20"/>
                <w:szCs w:val="20"/>
                <w:lang w:bidi="ar"/>
              </w:rPr>
              <w:t>一类具有三元数字集的</w:t>
            </w:r>
            <w:r>
              <w:rPr>
                <w:rStyle w:val="21"/>
                <w:rFonts w:ascii="Times New Roman" w:hAnsi="Times New Roman"/>
                <w:lang w:bidi="ar"/>
              </w:rPr>
              <w:t>Moran</w:t>
            </w:r>
          </w:p>
          <w:p>
            <w:pPr>
              <w:widowControl/>
              <w:jc w:val="center"/>
              <w:textAlignment w:val="bottom"/>
              <w:rPr>
                <w:rFonts w:ascii="Times New Roman" w:hAnsi="Times New Roman" w:cs="宋体"/>
                <w:color w:val="000000"/>
                <w:sz w:val="20"/>
                <w:szCs w:val="20"/>
              </w:rPr>
            </w:pPr>
            <w:r>
              <w:rPr>
                <w:rStyle w:val="22"/>
                <w:rFonts w:hint="default" w:ascii="Times New Roman" w:hAnsi="Times New Roman"/>
                <w:lang w:bidi="ar"/>
              </w:rPr>
              <w:t>测度的谱性</w:t>
            </w:r>
          </w:p>
        </w:tc>
        <w:tc>
          <w:tcPr>
            <w:tcW w:w="1458" w:type="dxa"/>
            <w:vAlign w:val="center"/>
          </w:tcPr>
          <w:p>
            <w:pPr>
              <w:widowControl/>
              <w:jc w:val="center"/>
              <w:textAlignment w:val="bottom"/>
              <w:rPr>
                <w:rFonts w:ascii="Times New Roman" w:hAnsi="Times New Roman" w:cs="宋体"/>
                <w:color w:val="000000"/>
                <w:sz w:val="20"/>
                <w:szCs w:val="20"/>
              </w:rPr>
            </w:pPr>
            <w:r>
              <w:rPr>
                <w:rFonts w:hint="eastAsia" w:ascii="Times New Roman" w:hAnsi="Times New Roman" w:cs="宋体"/>
                <w:color w:val="000000"/>
                <w:kern w:val="0"/>
                <w:sz w:val="20"/>
                <w:szCs w:val="20"/>
                <w:lang w:bidi="ar"/>
              </w:rPr>
              <w:t>董新汉</w:t>
            </w:r>
          </w:p>
        </w:tc>
        <w:tc>
          <w:tcPr>
            <w:tcW w:w="2863" w:type="dxa"/>
            <w:vAlign w:val="center"/>
          </w:tcPr>
          <w:p>
            <w:pPr>
              <w:jc w:val="center"/>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湖南省优秀硕士学位论文</w:t>
            </w:r>
          </w:p>
        </w:tc>
      </w:tr>
    </w:tbl>
    <w:p>
      <w:pPr>
        <w:keepNext w:val="0"/>
        <w:keepLines w:val="0"/>
        <w:pageBreakBefore w:val="0"/>
        <w:kinsoku/>
        <w:wordWrap/>
        <w:overflowPunct/>
        <w:topLinePunct w:val="0"/>
        <w:autoSpaceDE/>
        <w:autoSpaceDN/>
        <w:bidi w:val="0"/>
        <w:adjustRightInd/>
        <w:snapToGrid/>
        <w:spacing w:line="360" w:lineRule="auto"/>
        <w:ind w:left="0" w:leftChars="0" w:firstLine="0" w:firstLineChars="0"/>
        <w:jc w:val="both"/>
        <w:textAlignment w:val="auto"/>
        <w:rPr>
          <w:rFonts w:ascii="Times New Roman" w:hAnsi="Times New Roman" w:cs="宋体"/>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602" w:firstLineChars="200"/>
        <w:jc w:val="both"/>
        <w:textAlignment w:val="auto"/>
        <w:rPr>
          <w:rFonts w:ascii="Times New Roman" w:hAnsi="Times New Roman" w:cs="宋体"/>
          <w:color w:val="FF0000"/>
          <w:sz w:val="24"/>
        </w:rPr>
      </w:pPr>
      <w:r>
        <w:rPr>
          <w:rFonts w:ascii="Times New Roman" w:hAnsi="Times New Roman" w:cs="宋体"/>
          <w:b/>
          <w:color w:val="000000" w:themeColor="text1"/>
          <w:sz w:val="30"/>
          <w:szCs w:val="30"/>
          <w14:textFill>
            <w14:solidFill>
              <w14:schemeClr w14:val="tx1"/>
            </w14:solidFill>
          </w14:textFill>
        </w:rPr>
        <w:t>7</w:t>
      </w:r>
      <w:r>
        <w:rPr>
          <w:rFonts w:hint="eastAsia" w:ascii="Times New Roman" w:hAnsi="Times New Roman" w:cs="宋体"/>
          <w:b/>
          <w:color w:val="000000" w:themeColor="text1"/>
          <w:sz w:val="30"/>
          <w:szCs w:val="30"/>
          <w14:textFill>
            <w14:solidFill>
              <w14:schemeClr w14:val="tx1"/>
            </w14:solidFill>
          </w14:textFill>
        </w:rPr>
        <w:t>．学位授予及就业情况</w:t>
      </w:r>
      <w:r>
        <w:rPr>
          <w:rFonts w:hint="eastAsia" w:ascii="Times New Roman" w:hAnsi="Times New Roman" w:cs="宋体"/>
          <w:color w:val="000000" w:themeColor="text1"/>
          <w:sz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2021年，学科学位授权点有1</w:t>
      </w:r>
      <w:r>
        <w:rPr>
          <w:rFonts w:hint="eastAsia" w:ascii="Times New Roman" w:hAnsi="Times New Roman" w:cs="宋体"/>
          <w:color w:val="000000" w:themeColor="text1"/>
          <w:sz w:val="24"/>
          <w:lang w:val="en-US" w:eastAsia="zh-CN"/>
          <w14:textFill>
            <w14:solidFill>
              <w14:schemeClr w14:val="tx1"/>
            </w14:solidFill>
          </w14:textFill>
        </w:rPr>
        <w:t>1</w:t>
      </w:r>
      <w:r>
        <w:rPr>
          <w:rFonts w:hint="eastAsia" w:ascii="Times New Roman" w:hAnsi="Times New Roman" w:cs="宋体"/>
          <w:color w:val="000000" w:themeColor="text1"/>
          <w:sz w:val="24"/>
          <w14:textFill>
            <w14:solidFill>
              <w14:schemeClr w14:val="tx1"/>
            </w14:solidFill>
          </w14:textFill>
        </w:rPr>
        <w:t>名博士研究生毕业，60名硕士研究生毕业。硕士毕业生就业率（含升学）为92.74%，科研、教育等事业单位就业率为65%，国有企业就业率为0%，机关就业率为17%，攻读博士就业率为5%，其他为5%。博士毕业生就业率为100%，高等教育单位就业率为82%，国有企业就业率为9%，其他为9%。</w:t>
      </w:r>
    </w:p>
    <w:p>
      <w:pPr>
        <w:keepNext w:val="0"/>
        <w:keepLines w:val="0"/>
        <w:pageBreakBefore w:val="0"/>
        <w:kinsoku/>
        <w:wordWrap/>
        <w:overflowPunct/>
        <w:topLinePunct w:val="0"/>
        <w:autoSpaceDE/>
        <w:autoSpaceDN/>
        <w:bidi w:val="0"/>
        <w:adjustRightInd/>
        <w:snapToGrid/>
        <w:spacing w:line="360" w:lineRule="auto"/>
        <w:ind w:left="0" w:leftChars="0" w:firstLine="0" w:firstLineChars="0"/>
        <w:jc w:val="both"/>
        <w:textAlignment w:val="auto"/>
        <w:rPr>
          <w:rFonts w:ascii="Times New Roman" w:hAnsi="Times New Roman" w:eastAsia="黑体"/>
          <w:sz w:val="32"/>
          <w:szCs w:val="32"/>
        </w:rPr>
      </w:pPr>
    </w:p>
    <w:p>
      <w:pPr>
        <w:keepNext w:val="0"/>
        <w:keepLines w:val="0"/>
        <w:pageBreakBefore w:val="0"/>
        <w:kinsoku/>
        <w:wordWrap/>
        <w:overflowPunct/>
        <w:topLinePunct w:val="0"/>
        <w:autoSpaceDE/>
        <w:autoSpaceDN/>
        <w:bidi w:val="0"/>
        <w:adjustRightInd/>
        <w:snapToGrid/>
        <w:spacing w:line="360" w:lineRule="auto"/>
        <w:ind w:left="0" w:leftChars="0" w:firstLine="0" w:firstLineChars="0"/>
        <w:jc w:val="both"/>
        <w:textAlignment w:val="auto"/>
        <w:rPr>
          <w:rFonts w:ascii="Times New Roman" w:hAnsi="Times New Roman" w:cs="宋体"/>
          <w:color w:val="000000" w:themeColor="text1"/>
          <w:sz w:val="24"/>
          <w14:textFill>
            <w14:solidFill>
              <w14:schemeClr w14:val="tx1"/>
            </w14:solidFill>
          </w14:textFill>
        </w:rPr>
      </w:pPr>
      <w:r>
        <w:rPr>
          <w:rFonts w:ascii="Times New Roman" w:hAnsi="Times New Roman" w:eastAsia="黑体"/>
          <w:sz w:val="32"/>
          <w:szCs w:val="32"/>
        </w:rPr>
        <w:t>四</w:t>
      </w:r>
      <w:r>
        <w:rPr>
          <w:rFonts w:hint="eastAsia" w:ascii="Times New Roman" w:hAnsi="Times New Roman" w:eastAsia="黑体"/>
          <w:sz w:val="32"/>
          <w:szCs w:val="32"/>
        </w:rPr>
        <w:t>、</w:t>
      </w:r>
      <w:r>
        <w:rPr>
          <w:rFonts w:ascii="Times New Roman" w:hAnsi="Times New Roman" w:eastAsia="黑体"/>
          <w:sz w:val="32"/>
          <w:szCs w:val="32"/>
        </w:rPr>
        <w:t>学位授权点社会服务情况</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both"/>
        <w:textAlignment w:val="auto"/>
        <w:rPr>
          <w:rFonts w:ascii="Times New Roman" w:hAnsi="Times New Roman" w:cs="宋体"/>
          <w:color w:val="000000" w:themeColor="text1"/>
          <w:sz w:val="24"/>
          <w14:textFill>
            <w14:solidFill>
              <w14:schemeClr w14:val="tx1"/>
            </w14:solidFill>
          </w14:textFill>
        </w:rPr>
      </w:pPr>
      <w:r>
        <w:rPr>
          <w:rFonts w:ascii="Times New Roman" w:hAnsi="Times New Roman" w:cs="宋体"/>
          <w:color w:val="000000" w:themeColor="text1"/>
          <w:sz w:val="24"/>
          <w14:textFill>
            <w14:solidFill>
              <w14:schemeClr w14:val="tx1"/>
            </w14:solidFill>
          </w14:textFill>
        </w:rPr>
        <w:t>学科</w:t>
      </w:r>
      <w:r>
        <w:rPr>
          <w:rFonts w:hint="eastAsia" w:ascii="Times New Roman" w:hAnsi="Times New Roman" w:cs="宋体"/>
          <w:color w:val="000000" w:themeColor="text1"/>
          <w:sz w:val="24"/>
          <w14:textFill>
            <w14:solidFill>
              <w14:schemeClr w14:val="tx1"/>
            </w14:solidFill>
          </w14:textFill>
        </w:rPr>
        <w:t>学位授权点</w:t>
      </w:r>
      <w:r>
        <w:rPr>
          <w:rFonts w:ascii="Times New Roman" w:hAnsi="Times New Roman" w:cs="宋体"/>
          <w:color w:val="000000" w:themeColor="text1"/>
          <w:sz w:val="24"/>
          <w14:textFill>
            <w14:solidFill>
              <w14:schemeClr w14:val="tx1"/>
            </w14:solidFill>
          </w14:textFill>
        </w:rPr>
        <w:t>坚守师范初心和创新理念，面向国家急需和经济社会发展，将提升学科水平与增强服 务能力相结合，积极拓展社会服务空间，发挥数学教育优势，服务国家教育强国战略；利用数学研究优势，解决卡脖子问题，为经济社会发展提供数学方法或实现成果转化；利用学科影响力，积极组织高端学术论坛、开展各类学术服务；通过成员中的人大代表和委员履职，彰显学科担当和情怀。</w:t>
      </w:r>
    </w:p>
    <w:p>
      <w:pPr>
        <w:keepNext w:val="0"/>
        <w:keepLines w:val="0"/>
        <w:pageBreakBefore w:val="0"/>
        <w:kinsoku/>
        <w:wordWrap/>
        <w:overflowPunct/>
        <w:topLinePunct w:val="0"/>
        <w:autoSpaceDE/>
        <w:autoSpaceDN/>
        <w:bidi w:val="0"/>
        <w:adjustRightInd/>
        <w:snapToGrid/>
        <w:spacing w:line="360" w:lineRule="auto"/>
        <w:ind w:left="0" w:leftChars="0" w:firstLine="482" w:firstLineChars="200"/>
        <w:jc w:val="both"/>
        <w:textAlignment w:val="auto"/>
        <w:rPr>
          <w:rFonts w:ascii="Times New Roman" w:hAnsi="Times New Roman" w:cs="宋体"/>
          <w:color w:val="000000" w:themeColor="text1"/>
          <w:sz w:val="24"/>
          <w14:textFill>
            <w14:solidFill>
              <w14:schemeClr w14:val="tx1"/>
            </w14:solidFill>
          </w14:textFill>
        </w:rPr>
      </w:pPr>
      <w:r>
        <w:rPr>
          <w:rFonts w:ascii="Times New Roman" w:hAnsi="Times New Roman" w:cs="宋体"/>
          <w:b/>
          <w:color w:val="000000" w:themeColor="text1"/>
          <w:sz w:val="24"/>
          <w14:textFill>
            <w14:solidFill>
              <w14:schemeClr w14:val="tx1"/>
            </w14:solidFill>
          </w14:textFill>
        </w:rPr>
        <w:t>4.1 服务经济社会发展，开展科学研究。</w:t>
      </w:r>
      <w:r>
        <w:rPr>
          <w:rFonts w:ascii="Times New Roman" w:hAnsi="Times New Roman" w:cs="宋体"/>
          <w:color w:val="000000" w:themeColor="text1"/>
          <w:sz w:val="24"/>
          <w14:textFill>
            <w14:solidFill>
              <w14:schemeClr w14:val="tx1"/>
            </w14:solidFill>
          </w14:textFill>
        </w:rPr>
        <w:t xml:space="preserve">王国秋团队十年磨一剑，致力于金属基压敏芯片和传感器的研发，攻克了金属基压敏芯片关键技术，成功实现了压敏芯片产学研转化，实现了压敏传感器自动装配专线成功通线，并应用于工程机械和军工等领域。汪波等关于多层媒质快速多极算法研究被美国陆军研究办公室和 SIAM News 报道,称其可广泛应用于从生物、天文到军事应用和通讯等众多领域，该算法可用于电子自动化设计中寄生参数提取高性能并行场求解器等。 </w:t>
      </w:r>
    </w:p>
    <w:p>
      <w:pPr>
        <w:keepNext w:val="0"/>
        <w:keepLines w:val="0"/>
        <w:pageBreakBefore w:val="0"/>
        <w:kinsoku/>
        <w:wordWrap/>
        <w:overflowPunct/>
        <w:topLinePunct w:val="0"/>
        <w:autoSpaceDE/>
        <w:autoSpaceDN/>
        <w:bidi w:val="0"/>
        <w:adjustRightInd/>
        <w:snapToGrid/>
        <w:spacing w:line="360" w:lineRule="auto"/>
        <w:ind w:left="0" w:leftChars="0" w:firstLine="482" w:firstLineChars="200"/>
        <w:jc w:val="both"/>
        <w:textAlignment w:val="auto"/>
        <w:rPr>
          <w:rFonts w:ascii="Times New Roman" w:hAnsi="Times New Roman" w:cs="宋体"/>
          <w:color w:val="000000" w:themeColor="text1"/>
          <w:sz w:val="24"/>
          <w14:textFill>
            <w14:solidFill>
              <w14:schemeClr w14:val="tx1"/>
            </w14:solidFill>
          </w14:textFill>
        </w:rPr>
      </w:pPr>
      <w:r>
        <w:rPr>
          <w:rFonts w:ascii="Times New Roman" w:hAnsi="Times New Roman" w:cs="宋体"/>
          <w:b/>
          <w:color w:val="000000" w:themeColor="text1"/>
          <w:sz w:val="24"/>
          <w14:textFill>
            <w14:solidFill>
              <w14:schemeClr w14:val="tx1"/>
            </w14:solidFill>
          </w14:textFill>
        </w:rPr>
        <w:t>4.2 服务教育强国战略，彰显学科特色。</w:t>
      </w:r>
      <w:r>
        <w:rPr>
          <w:rFonts w:hint="eastAsia" w:ascii="Times New Roman" w:hAnsi="Times New Roman" w:cs="宋体"/>
          <w:color w:val="000000" w:themeColor="text1"/>
          <w:sz w:val="24"/>
          <w14:textFill>
            <w14:solidFill>
              <w14:schemeClr w14:val="tx1"/>
            </w14:solidFill>
          </w14:textFill>
        </w:rPr>
        <w:t>学科学位授权点</w:t>
      </w:r>
      <w:r>
        <w:rPr>
          <w:rFonts w:ascii="Times New Roman" w:hAnsi="Times New Roman" w:cs="宋体"/>
          <w:color w:val="000000" w:themeColor="text1"/>
          <w:sz w:val="24"/>
          <w14:textFill>
            <w14:solidFill>
              <w14:schemeClr w14:val="tx1"/>
            </w14:solidFill>
          </w14:textFill>
        </w:rPr>
        <w:t>已有83年办学历史，在人才培养方面取得了突出的成绩</w:t>
      </w:r>
      <w:r>
        <w:rPr>
          <w:rFonts w:hint="eastAsia" w:ascii="Times New Roman" w:hAnsi="Times New Roman" w:cs="宋体"/>
          <w:color w:val="000000" w:themeColor="text1"/>
          <w:sz w:val="24"/>
          <w14:textFill>
            <w14:solidFill>
              <w14:schemeClr w14:val="tx1"/>
            </w14:solidFill>
          </w14:textFill>
        </w:rPr>
        <w:t>。</w:t>
      </w:r>
      <w:r>
        <w:rPr>
          <w:rFonts w:ascii="Times New Roman" w:hAnsi="Times New Roman" w:cs="宋体"/>
          <w:color w:val="000000" w:themeColor="text1"/>
          <w:sz w:val="24"/>
          <w14:textFill>
            <w14:solidFill>
              <w14:schemeClr w14:val="tx1"/>
            </w14:solidFill>
          </w14:textFill>
        </w:rPr>
        <w:t>近五年</w:t>
      </w:r>
      <w:r>
        <w:rPr>
          <w:rFonts w:hint="eastAsia" w:ascii="Times New Roman" w:hAnsi="Times New Roman" w:cs="宋体"/>
          <w:color w:val="000000" w:themeColor="text1"/>
          <w:sz w:val="24"/>
          <w14:textFill>
            <w14:solidFill>
              <w14:schemeClr w14:val="tx1"/>
            </w14:solidFill>
          </w14:textFill>
        </w:rPr>
        <w:t>，</w:t>
      </w:r>
      <w:r>
        <w:rPr>
          <w:rFonts w:ascii="Times New Roman" w:hAnsi="Times New Roman" w:cs="宋体"/>
          <w:color w:val="000000" w:themeColor="text1"/>
          <w:sz w:val="24"/>
          <w14:textFill>
            <w14:solidFill>
              <w14:schemeClr w14:val="tx1"/>
            </w14:solidFill>
          </w14:textFill>
        </w:rPr>
        <w:t xml:space="preserve">8名毕业生入选国家杰青或者长江学者，湖南示范性中学 80%以上数学教师来自本学科等。学科学位授权点通过举办各类教师教育培训、承担公费师范生和农村专项生培养等助推教育公平和 提质；作为湖南省高中数学联赛竞委会主任单位助力中学数学拔尖人才培养，为地处中部地区的湖南保持高中数学联赛优势做出了突出贡献。 </w:t>
      </w:r>
    </w:p>
    <w:p>
      <w:pPr>
        <w:keepNext w:val="0"/>
        <w:keepLines w:val="0"/>
        <w:pageBreakBefore w:val="0"/>
        <w:kinsoku/>
        <w:wordWrap/>
        <w:overflowPunct/>
        <w:topLinePunct w:val="0"/>
        <w:autoSpaceDE/>
        <w:autoSpaceDN/>
        <w:bidi w:val="0"/>
        <w:adjustRightInd/>
        <w:snapToGrid/>
        <w:spacing w:line="360" w:lineRule="auto"/>
        <w:ind w:left="0" w:leftChars="0" w:firstLine="482" w:firstLineChars="200"/>
        <w:jc w:val="both"/>
        <w:textAlignment w:val="auto"/>
        <w:rPr>
          <w:rFonts w:ascii="Times New Roman" w:hAnsi="Times New Roman" w:cs="宋体"/>
          <w:color w:val="000000" w:themeColor="text1"/>
          <w:sz w:val="24"/>
          <w14:textFill>
            <w14:solidFill>
              <w14:schemeClr w14:val="tx1"/>
            </w14:solidFill>
          </w14:textFill>
        </w:rPr>
      </w:pPr>
      <w:r>
        <w:rPr>
          <w:rFonts w:ascii="Times New Roman" w:hAnsi="Times New Roman" w:cs="宋体"/>
          <w:b/>
          <w:color w:val="000000" w:themeColor="text1"/>
          <w:sz w:val="24"/>
          <w14:textFill>
            <w14:solidFill>
              <w14:schemeClr w14:val="tx1"/>
            </w14:solidFill>
          </w14:textFill>
        </w:rPr>
        <w:t>4.3 瞄准科学技术前沿，开展学术服务。</w:t>
      </w:r>
      <w:r>
        <w:rPr>
          <w:rFonts w:ascii="Times New Roman" w:hAnsi="Times New Roman" w:cs="宋体"/>
          <w:color w:val="000000" w:themeColor="text1"/>
          <w:sz w:val="24"/>
          <w14:textFill>
            <w14:solidFill>
              <w14:schemeClr w14:val="tx1"/>
            </w14:solidFill>
          </w14:textFill>
        </w:rPr>
        <w:t xml:space="preserve">瞄准人工智能和大数据战略，联合发起成立湖南潇湘大数据研究院；作为湖南国家应用数学中心核心共建单位，积极投身中心建设；借助湖南省数学会和计算数学应用软件学会平台，促进数学研究、人才培养与科学普及。举办或者协办各类重要学术会议，彰显湖南数学研究的影响力。 </w:t>
      </w:r>
    </w:p>
    <w:p>
      <w:pPr>
        <w:keepNext w:val="0"/>
        <w:keepLines w:val="0"/>
        <w:pageBreakBefore w:val="0"/>
        <w:kinsoku/>
        <w:wordWrap/>
        <w:overflowPunct/>
        <w:topLinePunct w:val="0"/>
        <w:autoSpaceDE/>
        <w:autoSpaceDN/>
        <w:bidi w:val="0"/>
        <w:adjustRightInd/>
        <w:snapToGrid/>
        <w:spacing w:line="360" w:lineRule="auto"/>
        <w:ind w:left="0" w:leftChars="0" w:firstLine="482" w:firstLineChars="200"/>
        <w:jc w:val="both"/>
        <w:textAlignment w:val="auto"/>
        <w:rPr>
          <w:rFonts w:ascii="Times New Roman" w:hAnsi="Times New Roman" w:cs="宋体"/>
          <w:color w:val="000000" w:themeColor="text1"/>
          <w:sz w:val="24"/>
          <w14:textFill>
            <w14:solidFill>
              <w14:schemeClr w14:val="tx1"/>
            </w14:solidFill>
          </w14:textFill>
        </w:rPr>
      </w:pPr>
      <w:r>
        <w:rPr>
          <w:rFonts w:ascii="Times New Roman" w:hAnsi="Times New Roman" w:cs="宋体"/>
          <w:b/>
          <w:color w:val="000000" w:themeColor="text1"/>
          <w:sz w:val="24"/>
          <w14:textFill>
            <w14:solidFill>
              <w14:schemeClr w14:val="tx1"/>
            </w14:solidFill>
          </w14:textFill>
        </w:rPr>
        <w:t>4.4 服务民生建言献策，勇担责任使命。</w:t>
      </w:r>
      <w:r>
        <w:rPr>
          <w:rFonts w:ascii="Times New Roman" w:hAnsi="Times New Roman" w:cs="宋体"/>
          <w:color w:val="000000" w:themeColor="text1"/>
          <w:sz w:val="24"/>
          <w14:textFill>
            <w14:solidFill>
              <w14:schemeClr w14:val="tx1"/>
            </w14:solidFill>
          </w14:textFill>
        </w:rPr>
        <w:t>学科学位</w:t>
      </w:r>
      <w:r>
        <w:rPr>
          <w:rFonts w:hint="eastAsia" w:ascii="Times New Roman" w:hAnsi="Times New Roman" w:cs="宋体"/>
          <w:color w:val="000000" w:themeColor="text1"/>
          <w:sz w:val="24"/>
          <w14:textFill>
            <w14:solidFill>
              <w14:schemeClr w14:val="tx1"/>
            </w14:solidFill>
          </w14:textFill>
        </w:rPr>
        <w:t>授权点</w:t>
      </w:r>
      <w:r>
        <w:rPr>
          <w:rFonts w:ascii="Times New Roman" w:hAnsi="Times New Roman" w:cs="宋体"/>
          <w:color w:val="000000" w:themeColor="text1"/>
          <w:sz w:val="24"/>
          <w14:textFill>
            <w14:solidFill>
              <w14:schemeClr w14:val="tx1"/>
            </w14:solidFill>
          </w14:textFill>
        </w:rPr>
        <w:t>有3名成员是国省两级人大代表</w:t>
      </w:r>
      <w:r>
        <w:rPr>
          <w:rFonts w:hint="eastAsia" w:ascii="Times New Roman" w:hAnsi="Times New Roman" w:cs="宋体"/>
          <w:color w:val="000000" w:themeColor="text1"/>
          <w:sz w:val="24"/>
          <w14:textFill>
            <w14:solidFill>
              <w14:schemeClr w14:val="tx1"/>
            </w14:solidFill>
          </w14:textFill>
        </w:rPr>
        <w:t>、</w:t>
      </w:r>
      <w:r>
        <w:rPr>
          <w:rFonts w:ascii="Times New Roman" w:hAnsi="Times New Roman" w:cs="宋体"/>
          <w:color w:val="000000" w:themeColor="text1"/>
          <w:sz w:val="24"/>
          <w14:textFill>
            <w14:solidFill>
              <w14:schemeClr w14:val="tx1"/>
            </w14:solidFill>
          </w14:textFill>
        </w:rPr>
        <w:t>政协委员或省政府参事，他们围绕教育、科技、民生、法治、脱贫攻坚、生态环保等方面积极履职建言，多项建议成为全国人大重点督办建议，相关建议被新华网、央广网、学习强国、搜狐网、腾讯网等广泛报道。</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both"/>
        <w:textAlignment w:val="auto"/>
        <w:rPr>
          <w:rFonts w:ascii="Times New Roman" w:hAnsi="Times New Roman" w:cs="宋体"/>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jc w:val="both"/>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eastAsia="黑体"/>
          <w:sz w:val="32"/>
          <w:szCs w:val="32"/>
        </w:rPr>
        <w:t>五、</w:t>
      </w:r>
      <w:r>
        <w:rPr>
          <w:rFonts w:ascii="Times New Roman" w:hAnsi="Times New Roman" w:eastAsia="黑体"/>
          <w:sz w:val="32"/>
          <w:szCs w:val="32"/>
        </w:rPr>
        <w:t>存在的问题与改进措施</w:t>
      </w:r>
    </w:p>
    <w:p>
      <w:pPr>
        <w:keepNext w:val="0"/>
        <w:keepLines w:val="0"/>
        <w:pageBreakBefore w:val="0"/>
        <w:kinsoku/>
        <w:wordWrap/>
        <w:overflowPunct/>
        <w:topLinePunct w:val="0"/>
        <w:autoSpaceDE/>
        <w:autoSpaceDN/>
        <w:bidi w:val="0"/>
        <w:adjustRightInd/>
        <w:snapToGrid/>
        <w:spacing w:line="360" w:lineRule="auto"/>
        <w:ind w:left="0" w:leftChars="0" w:firstLine="482" w:firstLineChars="200"/>
        <w:jc w:val="both"/>
        <w:textAlignment w:val="auto"/>
        <w:rPr>
          <w:rFonts w:ascii="Times New Roman" w:hAnsi="Times New Roman" w:cs="宋体"/>
          <w:b/>
          <w:color w:val="000000" w:themeColor="text1"/>
          <w:sz w:val="24"/>
          <w14:textFill>
            <w14:solidFill>
              <w14:schemeClr w14:val="tx1"/>
            </w14:solidFill>
          </w14:textFill>
        </w:rPr>
      </w:pPr>
      <w:r>
        <w:rPr>
          <w:rFonts w:ascii="Times New Roman" w:hAnsi="Times New Roman" w:cs="宋体"/>
          <w:b/>
          <w:color w:val="000000" w:themeColor="text1"/>
          <w:sz w:val="24"/>
          <w14:textFill>
            <w14:solidFill>
              <w14:schemeClr w14:val="tx1"/>
            </w14:solidFill>
          </w14:textFill>
        </w:rPr>
        <w:t>5.1存在的问题</w:t>
      </w:r>
      <w:r>
        <w:rPr>
          <w:rFonts w:hint="eastAsia" w:ascii="Times New Roman" w:hAnsi="Times New Roman" w:cs="宋体"/>
          <w:b/>
          <w:color w:val="000000" w:themeColor="text1"/>
          <w:sz w:val="24"/>
          <w14:textFill>
            <w14:solidFill>
              <w14:schemeClr w14:val="tx1"/>
            </w14:solidFill>
          </w14:textFill>
        </w:rPr>
        <w:t>及改进措施</w:t>
      </w:r>
    </w:p>
    <w:p>
      <w:pPr>
        <w:keepNext w:val="0"/>
        <w:keepLines w:val="0"/>
        <w:pageBreakBefore w:val="0"/>
        <w:kinsoku/>
        <w:wordWrap/>
        <w:overflowPunct/>
        <w:topLinePunct w:val="0"/>
        <w:autoSpaceDE/>
        <w:autoSpaceDN/>
        <w:bidi w:val="0"/>
        <w:adjustRightInd/>
        <w:snapToGrid/>
        <w:spacing w:line="360" w:lineRule="auto"/>
        <w:ind w:left="0" w:leftChars="0" w:firstLine="482" w:firstLineChars="200"/>
        <w:jc w:val="both"/>
        <w:textAlignment w:val="auto"/>
        <w:rPr>
          <w:rFonts w:ascii="Times New Roman" w:hAnsi="Times New Roman" w:cs="宋体"/>
          <w:b/>
          <w:color w:val="000000" w:themeColor="text1"/>
          <w:sz w:val="24"/>
          <w14:textFill>
            <w14:solidFill>
              <w14:schemeClr w14:val="tx1"/>
            </w14:solidFill>
          </w14:textFill>
        </w:rPr>
      </w:pPr>
      <w:r>
        <w:rPr>
          <w:rFonts w:ascii="Times New Roman" w:hAnsi="Times New Roman" w:cs="宋体"/>
          <w:b/>
          <w:color w:val="000000" w:themeColor="text1"/>
          <w:sz w:val="24"/>
          <w14:textFill>
            <w14:solidFill>
              <w14:schemeClr w14:val="tx1"/>
            </w14:solidFill>
          </w14:textFill>
        </w:rPr>
        <w:t>1</w:t>
      </w:r>
      <w:r>
        <w:rPr>
          <w:rFonts w:hint="eastAsia" w:ascii="Times New Roman" w:hAnsi="Times New Roman" w:cs="宋体"/>
          <w:b/>
          <w:color w:val="000000" w:themeColor="text1"/>
          <w:sz w:val="24"/>
          <w14:textFill>
            <w14:solidFill>
              <w14:schemeClr w14:val="tx1"/>
            </w14:solidFill>
          </w14:textFill>
        </w:rPr>
        <w:t>）研究生生源不理想</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both"/>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随着考研热和研究生大规模扩招，研究生个体差异大，加上部分研究生自身素质较低、攻读学位的功利性较强，导致培养单位和导师教学、科研压力增大，直接影响研究生的培养质量。另外， 很多生源来自一些二本学校， 学习的能力和数学修养较弱。 今后要进一步拓宽招生宣传渠道，多点出击吸引优质生源，为后期选拔高层次创新人才储备力量。</w:t>
      </w:r>
    </w:p>
    <w:p>
      <w:pPr>
        <w:keepNext w:val="0"/>
        <w:keepLines w:val="0"/>
        <w:pageBreakBefore w:val="0"/>
        <w:kinsoku/>
        <w:wordWrap/>
        <w:overflowPunct/>
        <w:topLinePunct w:val="0"/>
        <w:autoSpaceDE/>
        <w:autoSpaceDN/>
        <w:bidi w:val="0"/>
        <w:adjustRightInd/>
        <w:snapToGrid/>
        <w:spacing w:line="360" w:lineRule="auto"/>
        <w:ind w:left="0" w:leftChars="0" w:firstLine="482" w:firstLineChars="200"/>
        <w:jc w:val="both"/>
        <w:textAlignment w:val="auto"/>
        <w:rPr>
          <w:rFonts w:ascii="Times New Roman" w:hAnsi="Times New Roman" w:cs="宋体"/>
          <w:b/>
          <w:color w:val="000000" w:themeColor="text1"/>
          <w:sz w:val="24"/>
          <w14:textFill>
            <w14:solidFill>
              <w14:schemeClr w14:val="tx1"/>
            </w14:solidFill>
          </w14:textFill>
        </w:rPr>
      </w:pPr>
      <w:r>
        <w:rPr>
          <w:rFonts w:ascii="Times New Roman" w:hAnsi="Times New Roman" w:cs="宋体"/>
          <w:b/>
          <w:color w:val="000000" w:themeColor="text1"/>
          <w:sz w:val="24"/>
          <w14:textFill>
            <w14:solidFill>
              <w14:schemeClr w14:val="tx1"/>
            </w14:solidFill>
          </w14:textFill>
        </w:rPr>
        <w:t>2</w:t>
      </w:r>
      <w:r>
        <w:rPr>
          <w:rFonts w:hint="eastAsia" w:ascii="Times New Roman" w:hAnsi="Times New Roman" w:cs="宋体"/>
          <w:b/>
          <w:color w:val="000000" w:themeColor="text1"/>
          <w:sz w:val="24"/>
          <w14:textFill>
            <w14:solidFill>
              <w14:schemeClr w14:val="tx1"/>
            </w14:solidFill>
          </w14:textFill>
        </w:rPr>
        <w:t>）</w:t>
      </w:r>
      <w:r>
        <w:rPr>
          <w:rFonts w:ascii="Times New Roman" w:hAnsi="Times New Roman" w:cs="宋体"/>
          <w:b/>
          <w:color w:val="000000" w:themeColor="text1"/>
          <w:sz w:val="24"/>
          <w14:textFill>
            <w14:solidFill>
              <w14:schemeClr w14:val="tx1"/>
            </w14:solidFill>
          </w14:textFill>
        </w:rPr>
        <w:t>坚持分类培养，优化研究生培养模式</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both"/>
        <w:textAlignment w:val="auto"/>
        <w:rPr>
          <w:rFonts w:ascii="Times New Roman" w:hAnsi="Times New Roman" w:cs="宋体"/>
          <w:color w:val="000000" w:themeColor="text1"/>
          <w:sz w:val="24"/>
          <w14:textFill>
            <w14:solidFill>
              <w14:schemeClr w14:val="tx1"/>
            </w14:solidFill>
          </w14:textFill>
        </w:rPr>
      </w:pPr>
      <w:r>
        <w:rPr>
          <w:rFonts w:ascii="Times New Roman" w:hAnsi="Times New Roman" w:cs="宋体"/>
          <w:color w:val="000000" w:themeColor="text1"/>
          <w:sz w:val="24"/>
          <w14:textFill>
            <w14:solidFill>
              <w14:schemeClr w14:val="tx1"/>
            </w14:solidFill>
          </w14:textFill>
        </w:rPr>
        <w:t>坚持分类培养，进一步促进科教融合和产教融合。加强研究生创新能力培养，提升科学研究能力和学术训练强度，加强学科交叉和学术交流，以大团队、大平台、大项目支撑高质量研究生培养。推进硕博贯通培养，实行培养方案一体化设计。</w:t>
      </w:r>
    </w:p>
    <w:p>
      <w:pPr>
        <w:keepNext w:val="0"/>
        <w:keepLines w:val="0"/>
        <w:pageBreakBefore w:val="0"/>
        <w:kinsoku/>
        <w:wordWrap/>
        <w:overflowPunct/>
        <w:topLinePunct w:val="0"/>
        <w:autoSpaceDE/>
        <w:autoSpaceDN/>
        <w:bidi w:val="0"/>
        <w:adjustRightInd/>
        <w:snapToGrid/>
        <w:spacing w:line="360" w:lineRule="auto"/>
        <w:ind w:left="0" w:leftChars="0" w:firstLine="482" w:firstLineChars="200"/>
        <w:jc w:val="both"/>
        <w:textAlignment w:val="auto"/>
        <w:rPr>
          <w:rFonts w:ascii="Times New Roman" w:hAnsi="Times New Roman" w:cs="宋体"/>
          <w:b/>
          <w:color w:val="000000" w:themeColor="text1"/>
          <w:sz w:val="24"/>
          <w14:textFill>
            <w14:solidFill>
              <w14:schemeClr w14:val="tx1"/>
            </w14:solidFill>
          </w14:textFill>
        </w:rPr>
      </w:pPr>
      <w:r>
        <w:rPr>
          <w:rFonts w:ascii="Times New Roman" w:hAnsi="Times New Roman" w:cs="宋体"/>
          <w:b/>
          <w:color w:val="000000" w:themeColor="text1"/>
          <w:sz w:val="24"/>
          <w14:textFill>
            <w14:solidFill>
              <w14:schemeClr w14:val="tx1"/>
            </w14:solidFill>
          </w14:textFill>
        </w:rPr>
        <w:t>3</w:t>
      </w:r>
      <w:r>
        <w:rPr>
          <w:rFonts w:hint="eastAsia" w:ascii="Times New Roman" w:hAnsi="Times New Roman" w:cs="宋体"/>
          <w:b/>
          <w:color w:val="000000" w:themeColor="text1"/>
          <w:sz w:val="24"/>
          <w14:textFill>
            <w14:solidFill>
              <w14:schemeClr w14:val="tx1"/>
            </w14:solidFill>
          </w14:textFill>
        </w:rPr>
        <w:t>）研究生培养环境和条件有待加强</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both"/>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研究生教育作为“高层次”、“高素质”人才培养和科技创新的主阵地，网络环境、图书资料、实验或教学设备等成为制约研究成果是否具有前沿性的重要因素之一，这些都需要学校加大投入力度。同时，要着力解决研究生招生规模扩大与学院管理队伍紧缺的矛盾。学科学位授权点要通过实验室、研究中心等平台建设，优化硬件设施与办公环境，为人才培养、科学研究、社会服务提供优质条件保障。</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firstLine="482" w:firstLineChars="200"/>
        <w:jc w:val="both"/>
        <w:textAlignment w:val="auto"/>
        <w:rPr>
          <w:rFonts w:ascii="Times New Roman" w:hAnsi="Times New Roman" w:cs="宋体"/>
          <w:b/>
          <w:color w:val="000000" w:themeColor="text1"/>
          <w:sz w:val="24"/>
          <w14:textFill>
            <w14:solidFill>
              <w14:schemeClr w14:val="tx1"/>
            </w14:solidFill>
          </w14:textFill>
        </w:rPr>
      </w:pPr>
      <w:r>
        <w:rPr>
          <w:rFonts w:ascii="Times New Roman" w:hAnsi="Times New Roman" w:cs="宋体"/>
          <w:b/>
          <w:color w:val="000000" w:themeColor="text1"/>
          <w:sz w:val="24"/>
          <w14:textFill>
            <w14:solidFill>
              <w14:schemeClr w14:val="tx1"/>
            </w14:solidFill>
          </w14:textFill>
        </w:rPr>
        <w:t>4</w:t>
      </w:r>
      <w:r>
        <w:rPr>
          <w:rFonts w:hint="eastAsia" w:ascii="Times New Roman" w:hAnsi="Times New Roman" w:cs="宋体"/>
          <w:b/>
          <w:color w:val="000000" w:themeColor="text1"/>
          <w:sz w:val="24"/>
          <w14:textFill>
            <w14:solidFill>
              <w14:schemeClr w14:val="tx1"/>
            </w14:solidFill>
          </w14:textFill>
        </w:rPr>
        <w:t>）</w:t>
      </w:r>
      <w:r>
        <w:rPr>
          <w:rFonts w:ascii="Times New Roman" w:hAnsi="Times New Roman" w:cs="宋体"/>
          <w:b/>
          <w:color w:val="000000" w:themeColor="text1"/>
          <w:sz w:val="24"/>
          <w14:textFill>
            <w14:solidFill>
              <w14:schemeClr w14:val="tx1"/>
            </w14:solidFill>
          </w14:textFill>
        </w:rPr>
        <w:t>进一步深化全过程改革，构建高水平培养体系</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firstLine="480" w:firstLineChars="200"/>
        <w:jc w:val="both"/>
        <w:textAlignment w:val="auto"/>
        <w:rPr>
          <w:rFonts w:ascii="Times New Roman" w:hAnsi="Times New Roman" w:cs="宋体"/>
          <w:color w:val="000000" w:themeColor="text1"/>
          <w:sz w:val="24"/>
          <w14:textFill>
            <w14:solidFill>
              <w14:schemeClr w14:val="tx1"/>
            </w14:solidFill>
          </w14:textFill>
        </w:rPr>
      </w:pPr>
      <w:r>
        <w:rPr>
          <w:rFonts w:ascii="Times New Roman" w:hAnsi="Times New Roman" w:cs="宋体"/>
          <w:color w:val="000000" w:themeColor="text1"/>
          <w:sz w:val="24"/>
          <w14:textFill>
            <w14:solidFill>
              <w14:schemeClr w14:val="tx1"/>
            </w14:solidFill>
          </w14:textFill>
        </w:rPr>
        <w:t>学科学位授权点要以贯彻落实全国研究生教育会议精神为契机</w:t>
      </w:r>
      <w:r>
        <w:rPr>
          <w:rFonts w:hint="eastAsia" w:ascii="Times New Roman" w:hAnsi="Times New Roman" w:cs="宋体"/>
          <w:color w:val="000000" w:themeColor="text1"/>
          <w:sz w:val="24"/>
          <w14:textFill>
            <w14:solidFill>
              <w14:schemeClr w14:val="tx1"/>
            </w14:solidFill>
          </w14:textFill>
        </w:rPr>
        <w:t>，</w:t>
      </w:r>
      <w:r>
        <w:rPr>
          <w:rFonts w:ascii="Times New Roman" w:hAnsi="Times New Roman" w:cs="宋体"/>
          <w:color w:val="000000" w:themeColor="text1"/>
          <w:sz w:val="24"/>
          <w14:textFill>
            <w14:solidFill>
              <w14:schemeClr w14:val="tx1"/>
            </w14:solidFill>
          </w14:textFill>
        </w:rPr>
        <w:t>全面深化研究生教育改革</w:t>
      </w:r>
      <w:r>
        <w:rPr>
          <w:rFonts w:hint="eastAsia" w:ascii="Times New Roman" w:hAnsi="Times New Roman" w:cs="宋体"/>
          <w:color w:val="000000" w:themeColor="text1"/>
          <w:sz w:val="24"/>
          <w14:textFill>
            <w14:solidFill>
              <w14:schemeClr w14:val="tx1"/>
            </w14:solidFill>
          </w14:textFill>
        </w:rPr>
        <w:t>，</w:t>
      </w:r>
      <w:r>
        <w:rPr>
          <w:rFonts w:ascii="Times New Roman" w:hAnsi="Times New Roman" w:cs="宋体"/>
          <w:color w:val="000000" w:themeColor="text1"/>
          <w:sz w:val="24"/>
          <w14:textFill>
            <w14:solidFill>
              <w14:schemeClr w14:val="tx1"/>
            </w14:solidFill>
          </w14:textFill>
        </w:rPr>
        <w:t>强化研究生教育全过程的监督、检查与反馈。建立研究生课程督导队伍，加强课程监督与质量提升</w:t>
      </w:r>
      <w:r>
        <w:rPr>
          <w:rFonts w:hint="eastAsia" w:ascii="Times New Roman" w:hAnsi="Times New Roman" w:cs="宋体"/>
          <w:color w:val="000000" w:themeColor="text1"/>
          <w:sz w:val="24"/>
          <w14:textFill>
            <w14:solidFill>
              <w14:schemeClr w14:val="tx1"/>
            </w14:solidFill>
          </w14:textFill>
        </w:rPr>
        <w:t>；</w:t>
      </w:r>
      <w:r>
        <w:rPr>
          <w:rFonts w:ascii="Times New Roman" w:hAnsi="Times New Roman" w:cs="宋体"/>
          <w:color w:val="000000" w:themeColor="text1"/>
          <w:sz w:val="24"/>
          <w14:textFill>
            <w14:solidFill>
              <w14:schemeClr w14:val="tx1"/>
            </w14:solidFill>
          </w14:textFill>
        </w:rPr>
        <w:t>突出考核与分流导向，强化研究生论文开题、中期考核等培养环节；完善考核要求，落细落实博士生科研基金申报书撰写、实践活动、预答辩等环节及参加国际学术会议要求；优化考核机制，进一步严格规范管理，强化培养环节的过程管理和质量保障。</w:t>
      </w:r>
    </w:p>
    <w:p>
      <w:pPr>
        <w:keepNext w:val="0"/>
        <w:keepLines w:val="0"/>
        <w:pageBreakBefore w:val="0"/>
        <w:kinsoku/>
        <w:wordWrap/>
        <w:overflowPunct/>
        <w:topLinePunct w:val="0"/>
        <w:autoSpaceDE/>
        <w:autoSpaceDN/>
        <w:bidi w:val="0"/>
        <w:adjustRightInd/>
        <w:snapToGrid/>
        <w:spacing w:line="360" w:lineRule="auto"/>
        <w:ind w:left="0" w:leftChars="0" w:firstLine="482" w:firstLineChars="200"/>
        <w:jc w:val="both"/>
        <w:textAlignment w:val="auto"/>
        <w:rPr>
          <w:rFonts w:ascii="Times New Roman" w:hAnsi="Times New Roman" w:cs="宋体"/>
          <w:b/>
          <w:color w:val="000000" w:themeColor="text1"/>
          <w:sz w:val="24"/>
          <w14:textFill>
            <w14:solidFill>
              <w14:schemeClr w14:val="tx1"/>
            </w14:solidFill>
          </w14:textFill>
        </w:rPr>
      </w:pPr>
      <w:r>
        <w:rPr>
          <w:rFonts w:ascii="Times New Roman" w:hAnsi="Times New Roman" w:cs="宋体"/>
          <w:b/>
          <w:color w:val="000000" w:themeColor="text1"/>
          <w:sz w:val="24"/>
          <w14:textFill>
            <w14:solidFill>
              <w14:schemeClr w14:val="tx1"/>
            </w14:solidFill>
          </w14:textFill>
        </w:rPr>
        <w:t xml:space="preserve">5.下一年度的工作要点 </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both"/>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color w:val="000000" w:themeColor="text1"/>
          <w:sz w:val="24"/>
          <w14:textFill>
            <w14:solidFill>
              <w14:schemeClr w14:val="tx1"/>
            </w14:solidFill>
          </w14:textFill>
        </w:rPr>
        <w:t>全面贯彻落实党的十九大精神，以习近平新时代中国特色社会主义思想为指导，根据学校工作要点，持续深化研究生教育改革，提升研究生培养质量，努力构建一流的研究生教育体系，为推进学校“双一流”建设做出新贡献。</w:t>
      </w:r>
    </w:p>
    <w:p>
      <w:pPr>
        <w:keepNext w:val="0"/>
        <w:keepLines w:val="0"/>
        <w:pageBreakBefore w:val="0"/>
        <w:kinsoku/>
        <w:wordWrap/>
        <w:overflowPunct/>
        <w:topLinePunct w:val="0"/>
        <w:autoSpaceDE/>
        <w:autoSpaceDN/>
        <w:bidi w:val="0"/>
        <w:adjustRightInd/>
        <w:snapToGrid/>
        <w:spacing w:line="360" w:lineRule="auto"/>
        <w:ind w:left="0" w:leftChars="0" w:firstLine="482" w:firstLineChars="200"/>
        <w:jc w:val="both"/>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b/>
          <w:color w:val="000000" w:themeColor="text1"/>
          <w:sz w:val="24"/>
          <w14:textFill>
            <w14:solidFill>
              <w14:schemeClr w14:val="tx1"/>
            </w14:solidFill>
          </w14:textFill>
        </w:rPr>
        <w:t>5</w:t>
      </w:r>
      <w:r>
        <w:rPr>
          <w:rFonts w:ascii="Times New Roman" w:hAnsi="Times New Roman" w:cs="宋体"/>
          <w:b/>
          <w:color w:val="000000" w:themeColor="text1"/>
          <w:sz w:val="24"/>
          <w14:textFill>
            <w14:solidFill>
              <w14:schemeClr w14:val="tx1"/>
            </w14:solidFill>
          </w14:textFill>
        </w:rPr>
        <w:t>.1</w:t>
      </w:r>
      <w:r>
        <w:rPr>
          <w:rFonts w:hint="eastAsia" w:ascii="Times New Roman" w:hAnsi="Times New Roman" w:cs="宋体"/>
          <w:b/>
          <w:color w:val="000000" w:themeColor="text1"/>
          <w:sz w:val="24"/>
          <w14:textFill>
            <w14:solidFill>
              <w14:schemeClr w14:val="tx1"/>
            </w14:solidFill>
          </w14:textFill>
        </w:rPr>
        <w:t>以需求为导向，进一步分类建立研究生课程体系。</w:t>
      </w:r>
      <w:r>
        <w:rPr>
          <w:rFonts w:hint="eastAsia" w:ascii="Times New Roman" w:hAnsi="Times New Roman" w:cs="宋体"/>
          <w:color w:val="000000" w:themeColor="text1"/>
          <w:sz w:val="24"/>
          <w14:textFill>
            <w14:solidFill>
              <w14:schemeClr w14:val="tx1"/>
            </w14:solidFill>
          </w14:textFill>
        </w:rPr>
        <w:t>根据分类培养的要求，对研究生课程进行分类建设；加快推进硕博课程体系的一体化建设；构建面向实践、突出应用的课程体系，加大实践课程、行业前沿课程的开发与建设力度，重视运用案例分析等教学方法，培养研究生解决实际问题的能力。</w:t>
      </w:r>
    </w:p>
    <w:p>
      <w:pPr>
        <w:keepNext w:val="0"/>
        <w:keepLines w:val="0"/>
        <w:pageBreakBefore w:val="0"/>
        <w:kinsoku/>
        <w:wordWrap/>
        <w:overflowPunct/>
        <w:topLinePunct w:val="0"/>
        <w:autoSpaceDE/>
        <w:autoSpaceDN/>
        <w:bidi w:val="0"/>
        <w:adjustRightInd/>
        <w:snapToGrid/>
        <w:spacing w:line="360" w:lineRule="auto"/>
        <w:ind w:left="0" w:leftChars="0" w:firstLine="482" w:firstLineChars="200"/>
        <w:jc w:val="both"/>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b/>
          <w:color w:val="000000" w:themeColor="text1"/>
          <w:sz w:val="24"/>
          <w14:textFill>
            <w14:solidFill>
              <w14:schemeClr w14:val="tx1"/>
            </w14:solidFill>
          </w14:textFill>
        </w:rPr>
        <w:t>5</w:t>
      </w:r>
      <w:r>
        <w:rPr>
          <w:rFonts w:ascii="Times New Roman" w:hAnsi="Times New Roman" w:cs="宋体"/>
          <w:b/>
          <w:color w:val="000000" w:themeColor="text1"/>
          <w:sz w:val="24"/>
          <w14:textFill>
            <w14:solidFill>
              <w14:schemeClr w14:val="tx1"/>
            </w14:solidFill>
          </w14:textFill>
        </w:rPr>
        <w:t>.2</w:t>
      </w:r>
      <w:r>
        <w:rPr>
          <w:rFonts w:hint="eastAsia" w:ascii="Times New Roman" w:hAnsi="Times New Roman" w:cs="宋体"/>
          <w:b/>
          <w:color w:val="000000" w:themeColor="text1"/>
          <w:sz w:val="24"/>
          <w14:textFill>
            <w14:solidFill>
              <w14:schemeClr w14:val="tx1"/>
            </w14:solidFill>
          </w14:textFill>
        </w:rPr>
        <w:t>加强学风和学术道德建设，多举措厚植研究生爱国主义情怀。</w:t>
      </w:r>
      <w:r>
        <w:rPr>
          <w:rFonts w:hint="eastAsia" w:ascii="Times New Roman" w:hAnsi="Times New Roman" w:cs="宋体"/>
          <w:color w:val="000000" w:themeColor="text1"/>
          <w:sz w:val="24"/>
          <w14:textFill>
            <w14:solidFill>
              <w14:schemeClr w14:val="tx1"/>
            </w14:solidFill>
          </w14:textFill>
        </w:rPr>
        <w:t>从德育维度出发，加强理想信念教育，学风建设和学术规范训练，职业生涯规划和就业指导，提高研究生自身修养。同时，不断强化宣传教育引导，增强研究生科研报国志向，引导研究生把论文写在祖国大地上。切实抓好典礼仪式教育，打造弘扬爱国主义情怀的思政大课。</w:t>
      </w:r>
    </w:p>
    <w:p>
      <w:pPr>
        <w:keepNext w:val="0"/>
        <w:keepLines w:val="0"/>
        <w:pageBreakBefore w:val="0"/>
        <w:kinsoku/>
        <w:wordWrap/>
        <w:overflowPunct/>
        <w:topLinePunct w:val="0"/>
        <w:autoSpaceDE/>
        <w:autoSpaceDN/>
        <w:bidi w:val="0"/>
        <w:adjustRightInd/>
        <w:snapToGrid/>
        <w:spacing w:line="360" w:lineRule="auto"/>
        <w:ind w:left="0" w:leftChars="0" w:firstLine="482" w:firstLineChars="200"/>
        <w:jc w:val="both"/>
        <w:textAlignment w:val="auto"/>
        <w:rPr>
          <w:rFonts w:ascii="Times New Roman" w:hAnsi="Times New Roman" w:cs="宋体"/>
          <w:color w:val="000000" w:themeColor="text1"/>
          <w:sz w:val="24"/>
          <w14:textFill>
            <w14:solidFill>
              <w14:schemeClr w14:val="tx1"/>
            </w14:solidFill>
          </w14:textFill>
        </w:rPr>
      </w:pPr>
      <w:r>
        <w:rPr>
          <w:rFonts w:hint="eastAsia" w:ascii="Times New Roman" w:hAnsi="Times New Roman" w:cs="宋体"/>
          <w:b/>
          <w:color w:val="000000" w:themeColor="text1"/>
          <w:sz w:val="24"/>
          <w14:textFill>
            <w14:solidFill>
              <w14:schemeClr w14:val="tx1"/>
            </w14:solidFill>
          </w14:textFill>
        </w:rPr>
        <w:t>5</w:t>
      </w:r>
      <w:r>
        <w:rPr>
          <w:rFonts w:ascii="Times New Roman" w:hAnsi="Times New Roman" w:cs="宋体"/>
          <w:b/>
          <w:color w:val="000000" w:themeColor="text1"/>
          <w:sz w:val="24"/>
          <w14:textFill>
            <w14:solidFill>
              <w14:schemeClr w14:val="tx1"/>
            </w14:solidFill>
          </w14:textFill>
        </w:rPr>
        <w:t>.3进一步</w:t>
      </w:r>
      <w:r>
        <w:rPr>
          <w:rFonts w:hint="eastAsia" w:ascii="Times New Roman" w:hAnsi="Times New Roman" w:cs="宋体"/>
          <w:b/>
          <w:color w:val="000000" w:themeColor="text1"/>
          <w:sz w:val="24"/>
          <w14:textFill>
            <w14:solidFill>
              <w14:schemeClr w14:val="tx1"/>
            </w14:solidFill>
          </w14:textFill>
        </w:rPr>
        <w:t>创新导师考核体制，提升研究生导师队伍整体水平。</w:t>
      </w:r>
      <w:r>
        <w:rPr>
          <w:rFonts w:hint="eastAsia" w:ascii="Times New Roman" w:hAnsi="Times New Roman" w:cs="宋体"/>
          <w:color w:val="000000" w:themeColor="text1"/>
          <w:sz w:val="24"/>
          <w14:textFill>
            <w14:solidFill>
              <w14:schemeClr w14:val="tx1"/>
            </w14:solidFill>
          </w14:textFill>
        </w:rPr>
        <w:t>严格落实导师分类遴选、考核制度，对导师实行评聘分离，动态管理。将指导精力投入、思政工作情况纳入导师评价考核体系。强化育人职责。通过</w:t>
      </w:r>
      <w:r>
        <w:rPr>
          <w:rFonts w:ascii="Times New Roman" w:hAnsi="Times New Roman" w:cs="宋体"/>
          <w:color w:val="000000" w:themeColor="text1"/>
          <w:sz w:val="24"/>
          <w14:textFill>
            <w14:solidFill>
              <w14:schemeClr w14:val="tx1"/>
            </w14:solidFill>
          </w14:textFill>
        </w:rPr>
        <w:t>综合遴选考察，确保导师队伍的整体稳定及不断优化。</w:t>
      </w:r>
    </w:p>
    <w:sectPr>
      <w:footerReference r:id="rId3" w:type="default"/>
      <w:footerReference r:id="rId4" w:type="even"/>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昆仑黑体">
    <w:altName w:val="黑体"/>
    <w:panose1 w:val="00000000000000000000"/>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1"/>
                              <w:szCs w:val="21"/>
                            </w:rPr>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rPr>
                            <w:t>- 2 -</w:t>
                          </w:r>
                          <w:r>
                            <w:rPr>
                              <w:sz w:val="21"/>
                              <w:szCs w:val="21"/>
                            </w:rPr>
                            <w:fldChar w:fldCharType="end"/>
                          </w:r>
                          <w:r>
                            <w:rPr>
                              <w:sz w:val="21"/>
                              <w:szCs w:val="21"/>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sz w:val="21"/>
                        <w:szCs w:val="21"/>
                      </w:rPr>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rPr>
                      <w:t>- 2 -</w:t>
                    </w:r>
                    <w:r>
                      <w:rPr>
                        <w:sz w:val="21"/>
                        <w:szCs w:val="21"/>
                      </w:rPr>
                      <w:fldChar w:fldCharType="end"/>
                    </w:r>
                    <w:r>
                      <w:rPr>
                        <w:sz w:val="21"/>
                        <w:szCs w:val="21"/>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9"/>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D0"/>
    <w:rsid w:val="00000195"/>
    <w:rsid w:val="0000064E"/>
    <w:rsid w:val="00004972"/>
    <w:rsid w:val="000052B5"/>
    <w:rsid w:val="0000680E"/>
    <w:rsid w:val="00010722"/>
    <w:rsid w:val="00010FDF"/>
    <w:rsid w:val="000111EE"/>
    <w:rsid w:val="00014E55"/>
    <w:rsid w:val="00017AD7"/>
    <w:rsid w:val="00020AB5"/>
    <w:rsid w:val="00021E85"/>
    <w:rsid w:val="00022882"/>
    <w:rsid w:val="00025002"/>
    <w:rsid w:val="000254D2"/>
    <w:rsid w:val="0002684B"/>
    <w:rsid w:val="00026962"/>
    <w:rsid w:val="0002723F"/>
    <w:rsid w:val="000307F1"/>
    <w:rsid w:val="0003596B"/>
    <w:rsid w:val="0003743F"/>
    <w:rsid w:val="00041B47"/>
    <w:rsid w:val="00045CE3"/>
    <w:rsid w:val="00046F96"/>
    <w:rsid w:val="000476C5"/>
    <w:rsid w:val="000515C0"/>
    <w:rsid w:val="00052CEC"/>
    <w:rsid w:val="00052EA4"/>
    <w:rsid w:val="000532D6"/>
    <w:rsid w:val="00056561"/>
    <w:rsid w:val="00056D6D"/>
    <w:rsid w:val="000628DD"/>
    <w:rsid w:val="00062F27"/>
    <w:rsid w:val="000645AE"/>
    <w:rsid w:val="000647AA"/>
    <w:rsid w:val="0007022C"/>
    <w:rsid w:val="00071996"/>
    <w:rsid w:val="000743B1"/>
    <w:rsid w:val="00074EF7"/>
    <w:rsid w:val="000756E4"/>
    <w:rsid w:val="00075DA5"/>
    <w:rsid w:val="00080073"/>
    <w:rsid w:val="000811E1"/>
    <w:rsid w:val="00083E2D"/>
    <w:rsid w:val="00086AC4"/>
    <w:rsid w:val="000873D2"/>
    <w:rsid w:val="00087A7F"/>
    <w:rsid w:val="0009032B"/>
    <w:rsid w:val="0009321E"/>
    <w:rsid w:val="000943B4"/>
    <w:rsid w:val="00094CE3"/>
    <w:rsid w:val="000964AE"/>
    <w:rsid w:val="00096FFA"/>
    <w:rsid w:val="000A49D9"/>
    <w:rsid w:val="000A7D9E"/>
    <w:rsid w:val="000A7E4A"/>
    <w:rsid w:val="000B00C8"/>
    <w:rsid w:val="000B1A63"/>
    <w:rsid w:val="000B2F94"/>
    <w:rsid w:val="000B3B9B"/>
    <w:rsid w:val="000B430F"/>
    <w:rsid w:val="000B54FC"/>
    <w:rsid w:val="000B6A2E"/>
    <w:rsid w:val="000D1446"/>
    <w:rsid w:val="000D1F60"/>
    <w:rsid w:val="000D3EF7"/>
    <w:rsid w:val="000E1FCD"/>
    <w:rsid w:val="000E2741"/>
    <w:rsid w:val="000F00DF"/>
    <w:rsid w:val="000F30DD"/>
    <w:rsid w:val="000F42BB"/>
    <w:rsid w:val="000F4884"/>
    <w:rsid w:val="000F4A9B"/>
    <w:rsid w:val="000F5D93"/>
    <w:rsid w:val="000F5DDB"/>
    <w:rsid w:val="000F6721"/>
    <w:rsid w:val="00101370"/>
    <w:rsid w:val="00107F62"/>
    <w:rsid w:val="001112A4"/>
    <w:rsid w:val="00111896"/>
    <w:rsid w:val="0011489A"/>
    <w:rsid w:val="00120081"/>
    <w:rsid w:val="00122D5E"/>
    <w:rsid w:val="0012346A"/>
    <w:rsid w:val="00123E0B"/>
    <w:rsid w:val="00123FB2"/>
    <w:rsid w:val="00124870"/>
    <w:rsid w:val="001263DA"/>
    <w:rsid w:val="00126D18"/>
    <w:rsid w:val="00127EA2"/>
    <w:rsid w:val="0013215D"/>
    <w:rsid w:val="001321FD"/>
    <w:rsid w:val="0013244B"/>
    <w:rsid w:val="001324AD"/>
    <w:rsid w:val="00132BFD"/>
    <w:rsid w:val="0013600D"/>
    <w:rsid w:val="0014043D"/>
    <w:rsid w:val="00140A94"/>
    <w:rsid w:val="00141752"/>
    <w:rsid w:val="00141973"/>
    <w:rsid w:val="00142380"/>
    <w:rsid w:val="00145D6F"/>
    <w:rsid w:val="00147105"/>
    <w:rsid w:val="00152F8C"/>
    <w:rsid w:val="00153CB6"/>
    <w:rsid w:val="00155331"/>
    <w:rsid w:val="00161368"/>
    <w:rsid w:val="00164080"/>
    <w:rsid w:val="00165A9F"/>
    <w:rsid w:val="00167FF4"/>
    <w:rsid w:val="0017035E"/>
    <w:rsid w:val="001707C8"/>
    <w:rsid w:val="001749AA"/>
    <w:rsid w:val="00174F27"/>
    <w:rsid w:val="001912BC"/>
    <w:rsid w:val="00191A6F"/>
    <w:rsid w:val="00192998"/>
    <w:rsid w:val="0019341E"/>
    <w:rsid w:val="0019646B"/>
    <w:rsid w:val="00196A6C"/>
    <w:rsid w:val="00197EC8"/>
    <w:rsid w:val="001A067F"/>
    <w:rsid w:val="001A11D1"/>
    <w:rsid w:val="001A1734"/>
    <w:rsid w:val="001A1E32"/>
    <w:rsid w:val="001A268E"/>
    <w:rsid w:val="001A3434"/>
    <w:rsid w:val="001A46D2"/>
    <w:rsid w:val="001A4FD8"/>
    <w:rsid w:val="001A6430"/>
    <w:rsid w:val="001A6853"/>
    <w:rsid w:val="001B2778"/>
    <w:rsid w:val="001B30A9"/>
    <w:rsid w:val="001B4E5E"/>
    <w:rsid w:val="001B51F6"/>
    <w:rsid w:val="001B54F0"/>
    <w:rsid w:val="001B618B"/>
    <w:rsid w:val="001B66FE"/>
    <w:rsid w:val="001C01CD"/>
    <w:rsid w:val="001C104A"/>
    <w:rsid w:val="001C4A65"/>
    <w:rsid w:val="001C772C"/>
    <w:rsid w:val="001D18D4"/>
    <w:rsid w:val="001D2E79"/>
    <w:rsid w:val="001D32BF"/>
    <w:rsid w:val="001D4A6D"/>
    <w:rsid w:val="001D7E90"/>
    <w:rsid w:val="001E1639"/>
    <w:rsid w:val="001E381A"/>
    <w:rsid w:val="001E45A6"/>
    <w:rsid w:val="001E52E9"/>
    <w:rsid w:val="001F2C21"/>
    <w:rsid w:val="001F4EF8"/>
    <w:rsid w:val="001F6364"/>
    <w:rsid w:val="001F7EA2"/>
    <w:rsid w:val="00201EB2"/>
    <w:rsid w:val="00202551"/>
    <w:rsid w:val="002027D6"/>
    <w:rsid w:val="0020289A"/>
    <w:rsid w:val="00203B92"/>
    <w:rsid w:val="00204DDF"/>
    <w:rsid w:val="00207591"/>
    <w:rsid w:val="00211FE4"/>
    <w:rsid w:val="002143DE"/>
    <w:rsid w:val="00214BD6"/>
    <w:rsid w:val="0021678A"/>
    <w:rsid w:val="002214CF"/>
    <w:rsid w:val="002230C5"/>
    <w:rsid w:val="00225A85"/>
    <w:rsid w:val="002263E7"/>
    <w:rsid w:val="002309A2"/>
    <w:rsid w:val="00232BD7"/>
    <w:rsid w:val="00232BE2"/>
    <w:rsid w:val="00232EAA"/>
    <w:rsid w:val="00236631"/>
    <w:rsid w:val="00237061"/>
    <w:rsid w:val="00244AFD"/>
    <w:rsid w:val="002523C0"/>
    <w:rsid w:val="00253605"/>
    <w:rsid w:val="002544B1"/>
    <w:rsid w:val="00254A67"/>
    <w:rsid w:val="00254C43"/>
    <w:rsid w:val="00256D57"/>
    <w:rsid w:val="00261C5E"/>
    <w:rsid w:val="002632DF"/>
    <w:rsid w:val="0026361E"/>
    <w:rsid w:val="00263F31"/>
    <w:rsid w:val="00270139"/>
    <w:rsid w:val="00270D77"/>
    <w:rsid w:val="00272DDB"/>
    <w:rsid w:val="0027328F"/>
    <w:rsid w:val="0027340D"/>
    <w:rsid w:val="00273988"/>
    <w:rsid w:val="00280377"/>
    <w:rsid w:val="00284F26"/>
    <w:rsid w:val="00287502"/>
    <w:rsid w:val="0029049C"/>
    <w:rsid w:val="002912AD"/>
    <w:rsid w:val="0029180E"/>
    <w:rsid w:val="002941D5"/>
    <w:rsid w:val="00294A8C"/>
    <w:rsid w:val="002A068D"/>
    <w:rsid w:val="002A1BE4"/>
    <w:rsid w:val="002A32BA"/>
    <w:rsid w:val="002A3688"/>
    <w:rsid w:val="002A3B17"/>
    <w:rsid w:val="002A4436"/>
    <w:rsid w:val="002A4FA2"/>
    <w:rsid w:val="002A6B52"/>
    <w:rsid w:val="002A77AA"/>
    <w:rsid w:val="002B06A4"/>
    <w:rsid w:val="002B14C8"/>
    <w:rsid w:val="002B5648"/>
    <w:rsid w:val="002B571B"/>
    <w:rsid w:val="002C0CB4"/>
    <w:rsid w:val="002C2A4B"/>
    <w:rsid w:val="002D1229"/>
    <w:rsid w:val="002D2410"/>
    <w:rsid w:val="002E2A79"/>
    <w:rsid w:val="002E513C"/>
    <w:rsid w:val="002E526E"/>
    <w:rsid w:val="002E5F07"/>
    <w:rsid w:val="002F0A8A"/>
    <w:rsid w:val="002F244B"/>
    <w:rsid w:val="002F597D"/>
    <w:rsid w:val="0030093E"/>
    <w:rsid w:val="0030348A"/>
    <w:rsid w:val="0030556D"/>
    <w:rsid w:val="003058EF"/>
    <w:rsid w:val="0031212B"/>
    <w:rsid w:val="003138E3"/>
    <w:rsid w:val="003141A0"/>
    <w:rsid w:val="00316AE1"/>
    <w:rsid w:val="00320847"/>
    <w:rsid w:val="003209DC"/>
    <w:rsid w:val="00320FC1"/>
    <w:rsid w:val="0032368F"/>
    <w:rsid w:val="00324238"/>
    <w:rsid w:val="003251A5"/>
    <w:rsid w:val="00332A4B"/>
    <w:rsid w:val="00333A1A"/>
    <w:rsid w:val="00333D51"/>
    <w:rsid w:val="00337C0E"/>
    <w:rsid w:val="00341244"/>
    <w:rsid w:val="00342040"/>
    <w:rsid w:val="00343F08"/>
    <w:rsid w:val="00344416"/>
    <w:rsid w:val="00344B40"/>
    <w:rsid w:val="00344C12"/>
    <w:rsid w:val="003458E1"/>
    <w:rsid w:val="00351367"/>
    <w:rsid w:val="00351EA8"/>
    <w:rsid w:val="0035410E"/>
    <w:rsid w:val="00355628"/>
    <w:rsid w:val="003565B6"/>
    <w:rsid w:val="00366029"/>
    <w:rsid w:val="00366EB6"/>
    <w:rsid w:val="00367B72"/>
    <w:rsid w:val="00367BEC"/>
    <w:rsid w:val="00367E62"/>
    <w:rsid w:val="00367FF3"/>
    <w:rsid w:val="00370297"/>
    <w:rsid w:val="00371644"/>
    <w:rsid w:val="00372826"/>
    <w:rsid w:val="00372A1A"/>
    <w:rsid w:val="00373B4F"/>
    <w:rsid w:val="00375980"/>
    <w:rsid w:val="00375A72"/>
    <w:rsid w:val="003804E0"/>
    <w:rsid w:val="003815F7"/>
    <w:rsid w:val="0038679D"/>
    <w:rsid w:val="00386816"/>
    <w:rsid w:val="00386E87"/>
    <w:rsid w:val="00392B96"/>
    <w:rsid w:val="003A0500"/>
    <w:rsid w:val="003A09E2"/>
    <w:rsid w:val="003A0E74"/>
    <w:rsid w:val="003A17DF"/>
    <w:rsid w:val="003A4BA2"/>
    <w:rsid w:val="003A6AEF"/>
    <w:rsid w:val="003A6C4D"/>
    <w:rsid w:val="003B140E"/>
    <w:rsid w:val="003B3841"/>
    <w:rsid w:val="003B478D"/>
    <w:rsid w:val="003B4A2F"/>
    <w:rsid w:val="003C38E6"/>
    <w:rsid w:val="003C7F13"/>
    <w:rsid w:val="003D5CB6"/>
    <w:rsid w:val="003E0CDF"/>
    <w:rsid w:val="003E1CCC"/>
    <w:rsid w:val="003E232A"/>
    <w:rsid w:val="003E287C"/>
    <w:rsid w:val="003E32CB"/>
    <w:rsid w:val="003E3F36"/>
    <w:rsid w:val="003E5F1D"/>
    <w:rsid w:val="003E7E82"/>
    <w:rsid w:val="003F1B30"/>
    <w:rsid w:val="003F3029"/>
    <w:rsid w:val="003F3349"/>
    <w:rsid w:val="003F3C63"/>
    <w:rsid w:val="003F3CB1"/>
    <w:rsid w:val="003F5431"/>
    <w:rsid w:val="003F5D8B"/>
    <w:rsid w:val="003F75F8"/>
    <w:rsid w:val="004033C1"/>
    <w:rsid w:val="00407052"/>
    <w:rsid w:val="00413C69"/>
    <w:rsid w:val="004150A2"/>
    <w:rsid w:val="004159BD"/>
    <w:rsid w:val="00415C97"/>
    <w:rsid w:val="00417561"/>
    <w:rsid w:val="004219D0"/>
    <w:rsid w:val="00421B9E"/>
    <w:rsid w:val="00422425"/>
    <w:rsid w:val="00425AE1"/>
    <w:rsid w:val="00425AF3"/>
    <w:rsid w:val="004263A5"/>
    <w:rsid w:val="00427F09"/>
    <w:rsid w:val="0043083E"/>
    <w:rsid w:val="0043140D"/>
    <w:rsid w:val="0043597B"/>
    <w:rsid w:val="00436E36"/>
    <w:rsid w:val="00437419"/>
    <w:rsid w:val="0044073F"/>
    <w:rsid w:val="00441EC6"/>
    <w:rsid w:val="00444D4E"/>
    <w:rsid w:val="00445816"/>
    <w:rsid w:val="0044586D"/>
    <w:rsid w:val="00471FEC"/>
    <w:rsid w:val="00474C66"/>
    <w:rsid w:val="00475424"/>
    <w:rsid w:val="00477958"/>
    <w:rsid w:val="00477A6C"/>
    <w:rsid w:val="004816F3"/>
    <w:rsid w:val="00484135"/>
    <w:rsid w:val="004842DB"/>
    <w:rsid w:val="00484AAD"/>
    <w:rsid w:val="004868C0"/>
    <w:rsid w:val="00487F6F"/>
    <w:rsid w:val="00493733"/>
    <w:rsid w:val="00494D4B"/>
    <w:rsid w:val="004A0377"/>
    <w:rsid w:val="004A04B0"/>
    <w:rsid w:val="004A0F54"/>
    <w:rsid w:val="004A0F84"/>
    <w:rsid w:val="004A2D50"/>
    <w:rsid w:val="004A4AA9"/>
    <w:rsid w:val="004A7978"/>
    <w:rsid w:val="004B180F"/>
    <w:rsid w:val="004B644E"/>
    <w:rsid w:val="004B76EC"/>
    <w:rsid w:val="004C084E"/>
    <w:rsid w:val="004C35F6"/>
    <w:rsid w:val="004C455C"/>
    <w:rsid w:val="004D0910"/>
    <w:rsid w:val="004D2627"/>
    <w:rsid w:val="004D3F51"/>
    <w:rsid w:val="004D3F5D"/>
    <w:rsid w:val="004D5D33"/>
    <w:rsid w:val="004D66A2"/>
    <w:rsid w:val="004E0B19"/>
    <w:rsid w:val="004E0FF5"/>
    <w:rsid w:val="004E16D4"/>
    <w:rsid w:val="004E47D5"/>
    <w:rsid w:val="004E5387"/>
    <w:rsid w:val="004E7266"/>
    <w:rsid w:val="004F2A82"/>
    <w:rsid w:val="004F6274"/>
    <w:rsid w:val="004F68C7"/>
    <w:rsid w:val="005014F9"/>
    <w:rsid w:val="005019EA"/>
    <w:rsid w:val="0050227D"/>
    <w:rsid w:val="00502624"/>
    <w:rsid w:val="00504483"/>
    <w:rsid w:val="00505143"/>
    <w:rsid w:val="005119BA"/>
    <w:rsid w:val="00513A32"/>
    <w:rsid w:val="00517F90"/>
    <w:rsid w:val="00520773"/>
    <w:rsid w:val="005214C0"/>
    <w:rsid w:val="005245B0"/>
    <w:rsid w:val="005254A8"/>
    <w:rsid w:val="00525C2C"/>
    <w:rsid w:val="005269E5"/>
    <w:rsid w:val="005278F8"/>
    <w:rsid w:val="005321F2"/>
    <w:rsid w:val="0053282C"/>
    <w:rsid w:val="00532B37"/>
    <w:rsid w:val="00534314"/>
    <w:rsid w:val="00535D78"/>
    <w:rsid w:val="0053661A"/>
    <w:rsid w:val="00537966"/>
    <w:rsid w:val="00537F57"/>
    <w:rsid w:val="0054656C"/>
    <w:rsid w:val="00547CB4"/>
    <w:rsid w:val="00550781"/>
    <w:rsid w:val="00550FB2"/>
    <w:rsid w:val="00554D49"/>
    <w:rsid w:val="00556015"/>
    <w:rsid w:val="00556906"/>
    <w:rsid w:val="00557443"/>
    <w:rsid w:val="00564500"/>
    <w:rsid w:val="005712C9"/>
    <w:rsid w:val="00580E07"/>
    <w:rsid w:val="005827D6"/>
    <w:rsid w:val="00583732"/>
    <w:rsid w:val="0058522C"/>
    <w:rsid w:val="005870BD"/>
    <w:rsid w:val="00590B98"/>
    <w:rsid w:val="00593A30"/>
    <w:rsid w:val="005955E4"/>
    <w:rsid w:val="00596647"/>
    <w:rsid w:val="005966CF"/>
    <w:rsid w:val="005A0CDC"/>
    <w:rsid w:val="005A319A"/>
    <w:rsid w:val="005B066D"/>
    <w:rsid w:val="005B1426"/>
    <w:rsid w:val="005B1857"/>
    <w:rsid w:val="005B2EDF"/>
    <w:rsid w:val="005B3667"/>
    <w:rsid w:val="005B540D"/>
    <w:rsid w:val="005B6DF2"/>
    <w:rsid w:val="005B71B7"/>
    <w:rsid w:val="005C06B0"/>
    <w:rsid w:val="005C2E75"/>
    <w:rsid w:val="005C51C0"/>
    <w:rsid w:val="005C7ECD"/>
    <w:rsid w:val="005D5D27"/>
    <w:rsid w:val="005D5E06"/>
    <w:rsid w:val="005E3B3B"/>
    <w:rsid w:val="005E44D8"/>
    <w:rsid w:val="005E4FF0"/>
    <w:rsid w:val="005E7613"/>
    <w:rsid w:val="005F1A4D"/>
    <w:rsid w:val="005F2D56"/>
    <w:rsid w:val="005F4784"/>
    <w:rsid w:val="005F5D51"/>
    <w:rsid w:val="005F6D5F"/>
    <w:rsid w:val="00601338"/>
    <w:rsid w:val="00604B32"/>
    <w:rsid w:val="00605874"/>
    <w:rsid w:val="00606E8A"/>
    <w:rsid w:val="00610A97"/>
    <w:rsid w:val="00611AEF"/>
    <w:rsid w:val="00611CA3"/>
    <w:rsid w:val="00613391"/>
    <w:rsid w:val="006136A3"/>
    <w:rsid w:val="006146E5"/>
    <w:rsid w:val="0061483F"/>
    <w:rsid w:val="0061626A"/>
    <w:rsid w:val="006164D4"/>
    <w:rsid w:val="00617371"/>
    <w:rsid w:val="00623053"/>
    <w:rsid w:val="006237C4"/>
    <w:rsid w:val="00625DDC"/>
    <w:rsid w:val="00626789"/>
    <w:rsid w:val="00635050"/>
    <w:rsid w:val="0063537F"/>
    <w:rsid w:val="0063653F"/>
    <w:rsid w:val="006375C5"/>
    <w:rsid w:val="006406DA"/>
    <w:rsid w:val="0064181A"/>
    <w:rsid w:val="00642926"/>
    <w:rsid w:val="00642E15"/>
    <w:rsid w:val="00644176"/>
    <w:rsid w:val="00644E40"/>
    <w:rsid w:val="006472F3"/>
    <w:rsid w:val="00650749"/>
    <w:rsid w:val="00652D40"/>
    <w:rsid w:val="00656010"/>
    <w:rsid w:val="006570B5"/>
    <w:rsid w:val="006629FB"/>
    <w:rsid w:val="00664B58"/>
    <w:rsid w:val="00671A7E"/>
    <w:rsid w:val="006737FE"/>
    <w:rsid w:val="006760FC"/>
    <w:rsid w:val="00677486"/>
    <w:rsid w:val="00682B1B"/>
    <w:rsid w:val="00685E5E"/>
    <w:rsid w:val="00687E3E"/>
    <w:rsid w:val="00687EEE"/>
    <w:rsid w:val="006920DD"/>
    <w:rsid w:val="00693655"/>
    <w:rsid w:val="0069649F"/>
    <w:rsid w:val="006A440F"/>
    <w:rsid w:val="006A4C5D"/>
    <w:rsid w:val="006A4CDD"/>
    <w:rsid w:val="006A68E2"/>
    <w:rsid w:val="006B1B79"/>
    <w:rsid w:val="006B1CC8"/>
    <w:rsid w:val="006C04F2"/>
    <w:rsid w:val="006C3628"/>
    <w:rsid w:val="006C52B5"/>
    <w:rsid w:val="006D206D"/>
    <w:rsid w:val="006D2252"/>
    <w:rsid w:val="006D39E0"/>
    <w:rsid w:val="006D55DE"/>
    <w:rsid w:val="006E05A6"/>
    <w:rsid w:val="006E287F"/>
    <w:rsid w:val="006E5059"/>
    <w:rsid w:val="006E6504"/>
    <w:rsid w:val="006E6F2F"/>
    <w:rsid w:val="006F0AE0"/>
    <w:rsid w:val="006F0BB0"/>
    <w:rsid w:val="006F2E54"/>
    <w:rsid w:val="006F600D"/>
    <w:rsid w:val="0070012A"/>
    <w:rsid w:val="007010D3"/>
    <w:rsid w:val="007010F6"/>
    <w:rsid w:val="00701951"/>
    <w:rsid w:val="007025D6"/>
    <w:rsid w:val="00707872"/>
    <w:rsid w:val="00707CF3"/>
    <w:rsid w:val="00710F4D"/>
    <w:rsid w:val="00715948"/>
    <w:rsid w:val="00716E35"/>
    <w:rsid w:val="0072391D"/>
    <w:rsid w:val="007251DB"/>
    <w:rsid w:val="00726782"/>
    <w:rsid w:val="00726D94"/>
    <w:rsid w:val="0072712D"/>
    <w:rsid w:val="00731EF8"/>
    <w:rsid w:val="0073715B"/>
    <w:rsid w:val="0074155F"/>
    <w:rsid w:val="00741DA6"/>
    <w:rsid w:val="007442C6"/>
    <w:rsid w:val="00746DB6"/>
    <w:rsid w:val="00752F55"/>
    <w:rsid w:val="00753C05"/>
    <w:rsid w:val="00755263"/>
    <w:rsid w:val="0075748D"/>
    <w:rsid w:val="00761137"/>
    <w:rsid w:val="00761542"/>
    <w:rsid w:val="007621C1"/>
    <w:rsid w:val="0076361B"/>
    <w:rsid w:val="0076372A"/>
    <w:rsid w:val="00765896"/>
    <w:rsid w:val="00775640"/>
    <w:rsid w:val="00776861"/>
    <w:rsid w:val="00777C0D"/>
    <w:rsid w:val="0078093A"/>
    <w:rsid w:val="00783CDE"/>
    <w:rsid w:val="00784EAE"/>
    <w:rsid w:val="00785BD6"/>
    <w:rsid w:val="0078632C"/>
    <w:rsid w:val="00790530"/>
    <w:rsid w:val="00794013"/>
    <w:rsid w:val="0079443C"/>
    <w:rsid w:val="0079657B"/>
    <w:rsid w:val="007A5566"/>
    <w:rsid w:val="007A5F35"/>
    <w:rsid w:val="007A743E"/>
    <w:rsid w:val="007B0867"/>
    <w:rsid w:val="007B28D6"/>
    <w:rsid w:val="007B28EA"/>
    <w:rsid w:val="007B2965"/>
    <w:rsid w:val="007C2FF7"/>
    <w:rsid w:val="007C37AB"/>
    <w:rsid w:val="007C4955"/>
    <w:rsid w:val="007C6B38"/>
    <w:rsid w:val="007C6EB0"/>
    <w:rsid w:val="007D1862"/>
    <w:rsid w:val="007D387D"/>
    <w:rsid w:val="007D4006"/>
    <w:rsid w:val="007D5BCB"/>
    <w:rsid w:val="007D6F68"/>
    <w:rsid w:val="007D7418"/>
    <w:rsid w:val="007E1677"/>
    <w:rsid w:val="007E5E30"/>
    <w:rsid w:val="007E7DB1"/>
    <w:rsid w:val="007F0E2D"/>
    <w:rsid w:val="007F1685"/>
    <w:rsid w:val="007F3E9F"/>
    <w:rsid w:val="007F4FEB"/>
    <w:rsid w:val="007F5EE1"/>
    <w:rsid w:val="007F7829"/>
    <w:rsid w:val="00803457"/>
    <w:rsid w:val="00804066"/>
    <w:rsid w:val="008047AB"/>
    <w:rsid w:val="00804F65"/>
    <w:rsid w:val="00805703"/>
    <w:rsid w:val="0080760F"/>
    <w:rsid w:val="00811FAF"/>
    <w:rsid w:val="0081295B"/>
    <w:rsid w:val="00812FD7"/>
    <w:rsid w:val="00814B73"/>
    <w:rsid w:val="00817A9C"/>
    <w:rsid w:val="008201BE"/>
    <w:rsid w:val="00821CFF"/>
    <w:rsid w:val="00823444"/>
    <w:rsid w:val="00825751"/>
    <w:rsid w:val="00826B0E"/>
    <w:rsid w:val="008276EF"/>
    <w:rsid w:val="00831F3B"/>
    <w:rsid w:val="00832FBC"/>
    <w:rsid w:val="00842550"/>
    <w:rsid w:val="008429BD"/>
    <w:rsid w:val="00845948"/>
    <w:rsid w:val="0084596A"/>
    <w:rsid w:val="0084617B"/>
    <w:rsid w:val="00846DF4"/>
    <w:rsid w:val="00852074"/>
    <w:rsid w:val="00852B16"/>
    <w:rsid w:val="00854E69"/>
    <w:rsid w:val="00855582"/>
    <w:rsid w:val="00855F68"/>
    <w:rsid w:val="00860383"/>
    <w:rsid w:val="00860789"/>
    <w:rsid w:val="00861F81"/>
    <w:rsid w:val="008627F9"/>
    <w:rsid w:val="0086454D"/>
    <w:rsid w:val="00865BAC"/>
    <w:rsid w:val="00867E5D"/>
    <w:rsid w:val="00867F99"/>
    <w:rsid w:val="008750EC"/>
    <w:rsid w:val="00876218"/>
    <w:rsid w:val="00876523"/>
    <w:rsid w:val="00877AA9"/>
    <w:rsid w:val="00883C1F"/>
    <w:rsid w:val="00887964"/>
    <w:rsid w:val="00891D4F"/>
    <w:rsid w:val="00894815"/>
    <w:rsid w:val="00895EA7"/>
    <w:rsid w:val="008A0E0C"/>
    <w:rsid w:val="008A17DB"/>
    <w:rsid w:val="008A329B"/>
    <w:rsid w:val="008A33D7"/>
    <w:rsid w:val="008A3ABE"/>
    <w:rsid w:val="008A3BA2"/>
    <w:rsid w:val="008A5877"/>
    <w:rsid w:val="008A73E1"/>
    <w:rsid w:val="008B0DB1"/>
    <w:rsid w:val="008B10BB"/>
    <w:rsid w:val="008B1180"/>
    <w:rsid w:val="008B18C1"/>
    <w:rsid w:val="008B28A8"/>
    <w:rsid w:val="008B42B0"/>
    <w:rsid w:val="008B4AA2"/>
    <w:rsid w:val="008B5259"/>
    <w:rsid w:val="008B639E"/>
    <w:rsid w:val="008B7BFD"/>
    <w:rsid w:val="008C5830"/>
    <w:rsid w:val="008D29A9"/>
    <w:rsid w:val="008D3980"/>
    <w:rsid w:val="008D4F65"/>
    <w:rsid w:val="008D6676"/>
    <w:rsid w:val="008D7D85"/>
    <w:rsid w:val="008E1F40"/>
    <w:rsid w:val="008E5AEA"/>
    <w:rsid w:val="008E7AF0"/>
    <w:rsid w:val="008F13DD"/>
    <w:rsid w:val="008F14E8"/>
    <w:rsid w:val="008F4F9B"/>
    <w:rsid w:val="008F6675"/>
    <w:rsid w:val="00903143"/>
    <w:rsid w:val="00903E0F"/>
    <w:rsid w:val="009046F8"/>
    <w:rsid w:val="00905E2B"/>
    <w:rsid w:val="00906DBF"/>
    <w:rsid w:val="009104DE"/>
    <w:rsid w:val="009114FF"/>
    <w:rsid w:val="00911CB0"/>
    <w:rsid w:val="009153F0"/>
    <w:rsid w:val="00920C9C"/>
    <w:rsid w:val="00922AD5"/>
    <w:rsid w:val="00922B83"/>
    <w:rsid w:val="00922FDB"/>
    <w:rsid w:val="00923781"/>
    <w:rsid w:val="00924A51"/>
    <w:rsid w:val="00932F47"/>
    <w:rsid w:val="00932FD7"/>
    <w:rsid w:val="0093308B"/>
    <w:rsid w:val="00933C0C"/>
    <w:rsid w:val="00934B59"/>
    <w:rsid w:val="00935577"/>
    <w:rsid w:val="0093610B"/>
    <w:rsid w:val="0093695A"/>
    <w:rsid w:val="00947154"/>
    <w:rsid w:val="009534B2"/>
    <w:rsid w:val="00953751"/>
    <w:rsid w:val="00955646"/>
    <w:rsid w:val="00955800"/>
    <w:rsid w:val="0096011F"/>
    <w:rsid w:val="00971047"/>
    <w:rsid w:val="009724B7"/>
    <w:rsid w:val="0097433A"/>
    <w:rsid w:val="0097464C"/>
    <w:rsid w:val="00975388"/>
    <w:rsid w:val="009772FE"/>
    <w:rsid w:val="00985989"/>
    <w:rsid w:val="00986F33"/>
    <w:rsid w:val="00991E1E"/>
    <w:rsid w:val="009921F8"/>
    <w:rsid w:val="00992F2A"/>
    <w:rsid w:val="0099605C"/>
    <w:rsid w:val="009976FB"/>
    <w:rsid w:val="009A081E"/>
    <w:rsid w:val="009A70AB"/>
    <w:rsid w:val="009B0C02"/>
    <w:rsid w:val="009B2322"/>
    <w:rsid w:val="009B2B8A"/>
    <w:rsid w:val="009B35F3"/>
    <w:rsid w:val="009B4B6C"/>
    <w:rsid w:val="009B5FE1"/>
    <w:rsid w:val="009B75F6"/>
    <w:rsid w:val="009C0090"/>
    <w:rsid w:val="009C2B99"/>
    <w:rsid w:val="009C2D84"/>
    <w:rsid w:val="009C515F"/>
    <w:rsid w:val="009D0494"/>
    <w:rsid w:val="009D285C"/>
    <w:rsid w:val="009D3928"/>
    <w:rsid w:val="009D3CD2"/>
    <w:rsid w:val="009E0DDF"/>
    <w:rsid w:val="009E319F"/>
    <w:rsid w:val="009E515C"/>
    <w:rsid w:val="009F0446"/>
    <w:rsid w:val="009F7F6B"/>
    <w:rsid w:val="00A00BAF"/>
    <w:rsid w:val="00A0204D"/>
    <w:rsid w:val="00A02BFB"/>
    <w:rsid w:val="00A04868"/>
    <w:rsid w:val="00A05C97"/>
    <w:rsid w:val="00A11441"/>
    <w:rsid w:val="00A15B64"/>
    <w:rsid w:val="00A178E6"/>
    <w:rsid w:val="00A213BC"/>
    <w:rsid w:val="00A21F44"/>
    <w:rsid w:val="00A2307B"/>
    <w:rsid w:val="00A24163"/>
    <w:rsid w:val="00A24468"/>
    <w:rsid w:val="00A25EA2"/>
    <w:rsid w:val="00A306F6"/>
    <w:rsid w:val="00A33F7E"/>
    <w:rsid w:val="00A3456F"/>
    <w:rsid w:val="00A37714"/>
    <w:rsid w:val="00A4327A"/>
    <w:rsid w:val="00A4501D"/>
    <w:rsid w:val="00A45086"/>
    <w:rsid w:val="00A454B2"/>
    <w:rsid w:val="00A524DE"/>
    <w:rsid w:val="00A545D6"/>
    <w:rsid w:val="00A54909"/>
    <w:rsid w:val="00A55091"/>
    <w:rsid w:val="00A60908"/>
    <w:rsid w:val="00A612B6"/>
    <w:rsid w:val="00A63DBC"/>
    <w:rsid w:val="00A711E3"/>
    <w:rsid w:val="00A73201"/>
    <w:rsid w:val="00A73265"/>
    <w:rsid w:val="00A740DE"/>
    <w:rsid w:val="00A746FE"/>
    <w:rsid w:val="00A82DA0"/>
    <w:rsid w:val="00A86149"/>
    <w:rsid w:val="00A86B1F"/>
    <w:rsid w:val="00A87C3B"/>
    <w:rsid w:val="00A92F9F"/>
    <w:rsid w:val="00A95307"/>
    <w:rsid w:val="00A97E34"/>
    <w:rsid w:val="00AA056D"/>
    <w:rsid w:val="00AA3061"/>
    <w:rsid w:val="00AA396C"/>
    <w:rsid w:val="00AA5D16"/>
    <w:rsid w:val="00AA6CAA"/>
    <w:rsid w:val="00AA6F5F"/>
    <w:rsid w:val="00AA7140"/>
    <w:rsid w:val="00AB0440"/>
    <w:rsid w:val="00AB28C9"/>
    <w:rsid w:val="00AB3828"/>
    <w:rsid w:val="00AB4916"/>
    <w:rsid w:val="00AB6B23"/>
    <w:rsid w:val="00AC48D7"/>
    <w:rsid w:val="00AC77E1"/>
    <w:rsid w:val="00AC7B8F"/>
    <w:rsid w:val="00AD5FC0"/>
    <w:rsid w:val="00AD7FF8"/>
    <w:rsid w:val="00AE1CEF"/>
    <w:rsid w:val="00AE227D"/>
    <w:rsid w:val="00AE3E0C"/>
    <w:rsid w:val="00AE43CC"/>
    <w:rsid w:val="00AE4A05"/>
    <w:rsid w:val="00AE5BBE"/>
    <w:rsid w:val="00AE6829"/>
    <w:rsid w:val="00AF1B91"/>
    <w:rsid w:val="00AF3975"/>
    <w:rsid w:val="00AF665C"/>
    <w:rsid w:val="00AF70BC"/>
    <w:rsid w:val="00B001AE"/>
    <w:rsid w:val="00B00695"/>
    <w:rsid w:val="00B017E9"/>
    <w:rsid w:val="00B045CC"/>
    <w:rsid w:val="00B05E3E"/>
    <w:rsid w:val="00B06DCB"/>
    <w:rsid w:val="00B104C3"/>
    <w:rsid w:val="00B11770"/>
    <w:rsid w:val="00B12DDC"/>
    <w:rsid w:val="00B13229"/>
    <w:rsid w:val="00B14D01"/>
    <w:rsid w:val="00B2310C"/>
    <w:rsid w:val="00B23D1E"/>
    <w:rsid w:val="00B24844"/>
    <w:rsid w:val="00B26330"/>
    <w:rsid w:val="00B336C2"/>
    <w:rsid w:val="00B34F5B"/>
    <w:rsid w:val="00B3656B"/>
    <w:rsid w:val="00B40164"/>
    <w:rsid w:val="00B41144"/>
    <w:rsid w:val="00B42ADD"/>
    <w:rsid w:val="00B436AC"/>
    <w:rsid w:val="00B4650A"/>
    <w:rsid w:val="00B47391"/>
    <w:rsid w:val="00B50BB6"/>
    <w:rsid w:val="00B57007"/>
    <w:rsid w:val="00B57919"/>
    <w:rsid w:val="00B6715E"/>
    <w:rsid w:val="00B80167"/>
    <w:rsid w:val="00B805C8"/>
    <w:rsid w:val="00B81CB2"/>
    <w:rsid w:val="00B81DB8"/>
    <w:rsid w:val="00B81ED5"/>
    <w:rsid w:val="00B83A37"/>
    <w:rsid w:val="00B840AA"/>
    <w:rsid w:val="00B8411B"/>
    <w:rsid w:val="00B85444"/>
    <w:rsid w:val="00B86DD7"/>
    <w:rsid w:val="00B9001D"/>
    <w:rsid w:val="00B901AB"/>
    <w:rsid w:val="00B92161"/>
    <w:rsid w:val="00B96A72"/>
    <w:rsid w:val="00B96B1A"/>
    <w:rsid w:val="00B96D87"/>
    <w:rsid w:val="00BA0DF0"/>
    <w:rsid w:val="00BA2867"/>
    <w:rsid w:val="00BA34D0"/>
    <w:rsid w:val="00BA4054"/>
    <w:rsid w:val="00BA5A69"/>
    <w:rsid w:val="00BA64AB"/>
    <w:rsid w:val="00BB1854"/>
    <w:rsid w:val="00BB2D3A"/>
    <w:rsid w:val="00BB79BF"/>
    <w:rsid w:val="00BC08F5"/>
    <w:rsid w:val="00BC4074"/>
    <w:rsid w:val="00BC432E"/>
    <w:rsid w:val="00BC44D1"/>
    <w:rsid w:val="00BC665C"/>
    <w:rsid w:val="00BC701B"/>
    <w:rsid w:val="00BD11D2"/>
    <w:rsid w:val="00BD192F"/>
    <w:rsid w:val="00BD7770"/>
    <w:rsid w:val="00BE0614"/>
    <w:rsid w:val="00BE21F9"/>
    <w:rsid w:val="00BE3204"/>
    <w:rsid w:val="00BE4051"/>
    <w:rsid w:val="00BE6D86"/>
    <w:rsid w:val="00BE6E1B"/>
    <w:rsid w:val="00BF1F99"/>
    <w:rsid w:val="00BF6069"/>
    <w:rsid w:val="00BF7D85"/>
    <w:rsid w:val="00C00A2D"/>
    <w:rsid w:val="00C01047"/>
    <w:rsid w:val="00C02394"/>
    <w:rsid w:val="00C0668C"/>
    <w:rsid w:val="00C06AE2"/>
    <w:rsid w:val="00C06B11"/>
    <w:rsid w:val="00C07C55"/>
    <w:rsid w:val="00C13320"/>
    <w:rsid w:val="00C13357"/>
    <w:rsid w:val="00C14E4E"/>
    <w:rsid w:val="00C20656"/>
    <w:rsid w:val="00C224F5"/>
    <w:rsid w:val="00C235D4"/>
    <w:rsid w:val="00C23DC3"/>
    <w:rsid w:val="00C25361"/>
    <w:rsid w:val="00C25B0F"/>
    <w:rsid w:val="00C31B5C"/>
    <w:rsid w:val="00C31BD3"/>
    <w:rsid w:val="00C31F13"/>
    <w:rsid w:val="00C328E2"/>
    <w:rsid w:val="00C32BCE"/>
    <w:rsid w:val="00C41696"/>
    <w:rsid w:val="00C423E5"/>
    <w:rsid w:val="00C50745"/>
    <w:rsid w:val="00C54D03"/>
    <w:rsid w:val="00C60565"/>
    <w:rsid w:val="00C60C40"/>
    <w:rsid w:val="00C65783"/>
    <w:rsid w:val="00C66073"/>
    <w:rsid w:val="00C67EAB"/>
    <w:rsid w:val="00C7256B"/>
    <w:rsid w:val="00C73F1B"/>
    <w:rsid w:val="00C813C2"/>
    <w:rsid w:val="00C84CE4"/>
    <w:rsid w:val="00C85B9C"/>
    <w:rsid w:val="00C86F4F"/>
    <w:rsid w:val="00C87670"/>
    <w:rsid w:val="00C87DDD"/>
    <w:rsid w:val="00C90017"/>
    <w:rsid w:val="00C907B9"/>
    <w:rsid w:val="00C9380A"/>
    <w:rsid w:val="00C94508"/>
    <w:rsid w:val="00C96DEB"/>
    <w:rsid w:val="00CA0A6D"/>
    <w:rsid w:val="00CA354E"/>
    <w:rsid w:val="00CA4E0B"/>
    <w:rsid w:val="00CA61AF"/>
    <w:rsid w:val="00CB2953"/>
    <w:rsid w:val="00CB3139"/>
    <w:rsid w:val="00CB373F"/>
    <w:rsid w:val="00CB5CA3"/>
    <w:rsid w:val="00CB6494"/>
    <w:rsid w:val="00CB79FB"/>
    <w:rsid w:val="00CC1311"/>
    <w:rsid w:val="00CC1B04"/>
    <w:rsid w:val="00CC37D7"/>
    <w:rsid w:val="00CD514E"/>
    <w:rsid w:val="00CD79B2"/>
    <w:rsid w:val="00CE0DC3"/>
    <w:rsid w:val="00CE1117"/>
    <w:rsid w:val="00CE2059"/>
    <w:rsid w:val="00CE36B9"/>
    <w:rsid w:val="00CE6199"/>
    <w:rsid w:val="00CE6954"/>
    <w:rsid w:val="00CF06FD"/>
    <w:rsid w:val="00CF0A51"/>
    <w:rsid w:val="00CF0B64"/>
    <w:rsid w:val="00CF614E"/>
    <w:rsid w:val="00D0231C"/>
    <w:rsid w:val="00D03D1E"/>
    <w:rsid w:val="00D060FA"/>
    <w:rsid w:val="00D06EF9"/>
    <w:rsid w:val="00D129C5"/>
    <w:rsid w:val="00D15BA0"/>
    <w:rsid w:val="00D20286"/>
    <w:rsid w:val="00D23418"/>
    <w:rsid w:val="00D2381B"/>
    <w:rsid w:val="00D26270"/>
    <w:rsid w:val="00D27683"/>
    <w:rsid w:val="00D350FA"/>
    <w:rsid w:val="00D35C79"/>
    <w:rsid w:val="00D417C8"/>
    <w:rsid w:val="00D4507E"/>
    <w:rsid w:val="00D45F8F"/>
    <w:rsid w:val="00D463B5"/>
    <w:rsid w:val="00D475E8"/>
    <w:rsid w:val="00D47600"/>
    <w:rsid w:val="00D47FEC"/>
    <w:rsid w:val="00D50D68"/>
    <w:rsid w:val="00D50F97"/>
    <w:rsid w:val="00D52843"/>
    <w:rsid w:val="00D52AF8"/>
    <w:rsid w:val="00D545F2"/>
    <w:rsid w:val="00D548C3"/>
    <w:rsid w:val="00D56DB1"/>
    <w:rsid w:val="00D63377"/>
    <w:rsid w:val="00D63FA2"/>
    <w:rsid w:val="00D64F90"/>
    <w:rsid w:val="00D659B0"/>
    <w:rsid w:val="00D66934"/>
    <w:rsid w:val="00D7064C"/>
    <w:rsid w:val="00D706E6"/>
    <w:rsid w:val="00D74898"/>
    <w:rsid w:val="00D75DDB"/>
    <w:rsid w:val="00D7703F"/>
    <w:rsid w:val="00D773A1"/>
    <w:rsid w:val="00D77782"/>
    <w:rsid w:val="00D82520"/>
    <w:rsid w:val="00D83E7A"/>
    <w:rsid w:val="00D8582B"/>
    <w:rsid w:val="00D85D40"/>
    <w:rsid w:val="00D8691D"/>
    <w:rsid w:val="00D87B2B"/>
    <w:rsid w:val="00D87C63"/>
    <w:rsid w:val="00D944A4"/>
    <w:rsid w:val="00D9770B"/>
    <w:rsid w:val="00DA14DB"/>
    <w:rsid w:val="00DA4829"/>
    <w:rsid w:val="00DA6E08"/>
    <w:rsid w:val="00DB1443"/>
    <w:rsid w:val="00DB52D9"/>
    <w:rsid w:val="00DB557C"/>
    <w:rsid w:val="00DB56A1"/>
    <w:rsid w:val="00DB5A2C"/>
    <w:rsid w:val="00DB7294"/>
    <w:rsid w:val="00DB73CA"/>
    <w:rsid w:val="00DC055C"/>
    <w:rsid w:val="00DC3F4D"/>
    <w:rsid w:val="00DD198B"/>
    <w:rsid w:val="00DD54B1"/>
    <w:rsid w:val="00DD76B7"/>
    <w:rsid w:val="00DD770F"/>
    <w:rsid w:val="00DD784C"/>
    <w:rsid w:val="00DD79CA"/>
    <w:rsid w:val="00DE0526"/>
    <w:rsid w:val="00DE13E1"/>
    <w:rsid w:val="00DE151F"/>
    <w:rsid w:val="00DE2631"/>
    <w:rsid w:val="00DE68D7"/>
    <w:rsid w:val="00DF1736"/>
    <w:rsid w:val="00DF20A7"/>
    <w:rsid w:val="00DF21CC"/>
    <w:rsid w:val="00DF2E32"/>
    <w:rsid w:val="00DF4FAD"/>
    <w:rsid w:val="00E00145"/>
    <w:rsid w:val="00E065B6"/>
    <w:rsid w:val="00E06B8A"/>
    <w:rsid w:val="00E101FC"/>
    <w:rsid w:val="00E10479"/>
    <w:rsid w:val="00E13467"/>
    <w:rsid w:val="00E14410"/>
    <w:rsid w:val="00E14C47"/>
    <w:rsid w:val="00E22D8A"/>
    <w:rsid w:val="00E2583D"/>
    <w:rsid w:val="00E26822"/>
    <w:rsid w:val="00E27044"/>
    <w:rsid w:val="00E27C5E"/>
    <w:rsid w:val="00E30B4C"/>
    <w:rsid w:val="00E32C37"/>
    <w:rsid w:val="00E35EE3"/>
    <w:rsid w:val="00E41BAA"/>
    <w:rsid w:val="00E42C65"/>
    <w:rsid w:val="00E42E49"/>
    <w:rsid w:val="00E45246"/>
    <w:rsid w:val="00E45B0F"/>
    <w:rsid w:val="00E52981"/>
    <w:rsid w:val="00E52C52"/>
    <w:rsid w:val="00E57F6E"/>
    <w:rsid w:val="00E624EA"/>
    <w:rsid w:val="00E62A4E"/>
    <w:rsid w:val="00E63FCC"/>
    <w:rsid w:val="00E67C99"/>
    <w:rsid w:val="00E67D98"/>
    <w:rsid w:val="00E7511B"/>
    <w:rsid w:val="00E77BFB"/>
    <w:rsid w:val="00E84CBA"/>
    <w:rsid w:val="00E84FC4"/>
    <w:rsid w:val="00E858F5"/>
    <w:rsid w:val="00E866D2"/>
    <w:rsid w:val="00E9661E"/>
    <w:rsid w:val="00E968E5"/>
    <w:rsid w:val="00E96DA3"/>
    <w:rsid w:val="00EA03FE"/>
    <w:rsid w:val="00EA0BD8"/>
    <w:rsid w:val="00EB0027"/>
    <w:rsid w:val="00EB1833"/>
    <w:rsid w:val="00EB1909"/>
    <w:rsid w:val="00EB2A78"/>
    <w:rsid w:val="00EB3122"/>
    <w:rsid w:val="00EB550A"/>
    <w:rsid w:val="00EC0886"/>
    <w:rsid w:val="00EC111A"/>
    <w:rsid w:val="00EC2CBB"/>
    <w:rsid w:val="00EC3C69"/>
    <w:rsid w:val="00EC6498"/>
    <w:rsid w:val="00EC7B79"/>
    <w:rsid w:val="00ED316C"/>
    <w:rsid w:val="00ED4423"/>
    <w:rsid w:val="00ED7029"/>
    <w:rsid w:val="00EE113A"/>
    <w:rsid w:val="00EE2F11"/>
    <w:rsid w:val="00EE5401"/>
    <w:rsid w:val="00EF13F3"/>
    <w:rsid w:val="00EF20E9"/>
    <w:rsid w:val="00EF266B"/>
    <w:rsid w:val="00EF2B82"/>
    <w:rsid w:val="00EF2E59"/>
    <w:rsid w:val="00EF4000"/>
    <w:rsid w:val="00F040D6"/>
    <w:rsid w:val="00F0421D"/>
    <w:rsid w:val="00F056BC"/>
    <w:rsid w:val="00F0718C"/>
    <w:rsid w:val="00F07528"/>
    <w:rsid w:val="00F07CFE"/>
    <w:rsid w:val="00F11FEF"/>
    <w:rsid w:val="00F13DC5"/>
    <w:rsid w:val="00F1481D"/>
    <w:rsid w:val="00F2325B"/>
    <w:rsid w:val="00F23AE0"/>
    <w:rsid w:val="00F2499A"/>
    <w:rsid w:val="00F251E3"/>
    <w:rsid w:val="00F26FB9"/>
    <w:rsid w:val="00F30961"/>
    <w:rsid w:val="00F33F48"/>
    <w:rsid w:val="00F35CFA"/>
    <w:rsid w:val="00F35DD0"/>
    <w:rsid w:val="00F36D3D"/>
    <w:rsid w:val="00F36DCA"/>
    <w:rsid w:val="00F41300"/>
    <w:rsid w:val="00F474F8"/>
    <w:rsid w:val="00F51288"/>
    <w:rsid w:val="00F518A7"/>
    <w:rsid w:val="00F57AE5"/>
    <w:rsid w:val="00F600FD"/>
    <w:rsid w:val="00F64942"/>
    <w:rsid w:val="00F66D39"/>
    <w:rsid w:val="00F6754E"/>
    <w:rsid w:val="00F67695"/>
    <w:rsid w:val="00F701AF"/>
    <w:rsid w:val="00F704E4"/>
    <w:rsid w:val="00F71648"/>
    <w:rsid w:val="00F72FF6"/>
    <w:rsid w:val="00F7335F"/>
    <w:rsid w:val="00F738A0"/>
    <w:rsid w:val="00F738EC"/>
    <w:rsid w:val="00F74427"/>
    <w:rsid w:val="00F747BE"/>
    <w:rsid w:val="00F760AA"/>
    <w:rsid w:val="00F76D20"/>
    <w:rsid w:val="00F815C2"/>
    <w:rsid w:val="00F84B14"/>
    <w:rsid w:val="00F95BB2"/>
    <w:rsid w:val="00F95D04"/>
    <w:rsid w:val="00FA0F96"/>
    <w:rsid w:val="00FA42F6"/>
    <w:rsid w:val="00FA523F"/>
    <w:rsid w:val="00FB329A"/>
    <w:rsid w:val="00FB3E7C"/>
    <w:rsid w:val="00FB5F0D"/>
    <w:rsid w:val="00FB66BD"/>
    <w:rsid w:val="00FB6F9B"/>
    <w:rsid w:val="00FC1087"/>
    <w:rsid w:val="00FC3874"/>
    <w:rsid w:val="00FC45DE"/>
    <w:rsid w:val="00FC5CF2"/>
    <w:rsid w:val="00FC7188"/>
    <w:rsid w:val="00FD1BEC"/>
    <w:rsid w:val="00FD1FB8"/>
    <w:rsid w:val="00FD38D7"/>
    <w:rsid w:val="00FD4165"/>
    <w:rsid w:val="00FD60C7"/>
    <w:rsid w:val="00FE499C"/>
    <w:rsid w:val="00FE5951"/>
    <w:rsid w:val="00FE6CF5"/>
    <w:rsid w:val="00FE7499"/>
    <w:rsid w:val="00FF3351"/>
    <w:rsid w:val="00FF39F3"/>
    <w:rsid w:val="00FF759E"/>
    <w:rsid w:val="00FF78E0"/>
    <w:rsid w:val="013E61E2"/>
    <w:rsid w:val="01B666C0"/>
    <w:rsid w:val="02BA21E0"/>
    <w:rsid w:val="02DE5ECF"/>
    <w:rsid w:val="02FD3B14"/>
    <w:rsid w:val="035E7933"/>
    <w:rsid w:val="03BB1D6C"/>
    <w:rsid w:val="03E5328D"/>
    <w:rsid w:val="04281E03"/>
    <w:rsid w:val="04561A95"/>
    <w:rsid w:val="04AE7B23"/>
    <w:rsid w:val="055A16CF"/>
    <w:rsid w:val="057448C8"/>
    <w:rsid w:val="05C23886"/>
    <w:rsid w:val="06CB49BC"/>
    <w:rsid w:val="076B3AA9"/>
    <w:rsid w:val="077C7A64"/>
    <w:rsid w:val="07866B35"/>
    <w:rsid w:val="088210AA"/>
    <w:rsid w:val="08B17BE1"/>
    <w:rsid w:val="08FB4F73"/>
    <w:rsid w:val="0A60541B"/>
    <w:rsid w:val="0AB063A2"/>
    <w:rsid w:val="0B52745A"/>
    <w:rsid w:val="0BDE35D8"/>
    <w:rsid w:val="0C191D25"/>
    <w:rsid w:val="0DCB704F"/>
    <w:rsid w:val="0E213113"/>
    <w:rsid w:val="0F0D5446"/>
    <w:rsid w:val="0F7A0D2D"/>
    <w:rsid w:val="0FB216BB"/>
    <w:rsid w:val="0FED59A3"/>
    <w:rsid w:val="106B68C8"/>
    <w:rsid w:val="108C5E19"/>
    <w:rsid w:val="10FE409D"/>
    <w:rsid w:val="115B06EA"/>
    <w:rsid w:val="11B10BD6"/>
    <w:rsid w:val="127001C5"/>
    <w:rsid w:val="12BE4E68"/>
    <w:rsid w:val="12E3308D"/>
    <w:rsid w:val="12FC6BB7"/>
    <w:rsid w:val="132C2BCD"/>
    <w:rsid w:val="1364356A"/>
    <w:rsid w:val="13750189"/>
    <w:rsid w:val="13BB36C2"/>
    <w:rsid w:val="13BC3664"/>
    <w:rsid w:val="13C133CE"/>
    <w:rsid w:val="14551D69"/>
    <w:rsid w:val="151A266A"/>
    <w:rsid w:val="15400323"/>
    <w:rsid w:val="15436065"/>
    <w:rsid w:val="15C974DB"/>
    <w:rsid w:val="15CE1DD3"/>
    <w:rsid w:val="162A65FE"/>
    <w:rsid w:val="164B3423"/>
    <w:rsid w:val="16726C02"/>
    <w:rsid w:val="16EB42BE"/>
    <w:rsid w:val="177E15D6"/>
    <w:rsid w:val="17A0588E"/>
    <w:rsid w:val="17EC6540"/>
    <w:rsid w:val="182C4B8E"/>
    <w:rsid w:val="188B5D59"/>
    <w:rsid w:val="18DD0FE7"/>
    <w:rsid w:val="1ACE017F"/>
    <w:rsid w:val="1AD31C39"/>
    <w:rsid w:val="1AD35795"/>
    <w:rsid w:val="1BF43C15"/>
    <w:rsid w:val="1BFF331D"/>
    <w:rsid w:val="1CF85987"/>
    <w:rsid w:val="1D3A4CAB"/>
    <w:rsid w:val="1D784489"/>
    <w:rsid w:val="1DDC2909"/>
    <w:rsid w:val="1ED45E1D"/>
    <w:rsid w:val="1F34569E"/>
    <w:rsid w:val="1FAC1A52"/>
    <w:rsid w:val="20232D1B"/>
    <w:rsid w:val="202B4E35"/>
    <w:rsid w:val="205D447F"/>
    <w:rsid w:val="207D68CF"/>
    <w:rsid w:val="217D14EB"/>
    <w:rsid w:val="21933ED0"/>
    <w:rsid w:val="21BC6F83"/>
    <w:rsid w:val="227B0BEC"/>
    <w:rsid w:val="228201CD"/>
    <w:rsid w:val="23256DAA"/>
    <w:rsid w:val="23875AA2"/>
    <w:rsid w:val="23D83E1C"/>
    <w:rsid w:val="23E427C1"/>
    <w:rsid w:val="2495524F"/>
    <w:rsid w:val="24D665AE"/>
    <w:rsid w:val="25387269"/>
    <w:rsid w:val="26D22DA5"/>
    <w:rsid w:val="275859A0"/>
    <w:rsid w:val="276B6F7F"/>
    <w:rsid w:val="2795508D"/>
    <w:rsid w:val="27962024"/>
    <w:rsid w:val="27F82CDF"/>
    <w:rsid w:val="28043432"/>
    <w:rsid w:val="287863DB"/>
    <w:rsid w:val="289504BB"/>
    <w:rsid w:val="29262F95"/>
    <w:rsid w:val="29850CF1"/>
    <w:rsid w:val="2A102562"/>
    <w:rsid w:val="2A7F3244"/>
    <w:rsid w:val="2B1C6CE5"/>
    <w:rsid w:val="2B536BAA"/>
    <w:rsid w:val="2BA016C4"/>
    <w:rsid w:val="2BDD0222"/>
    <w:rsid w:val="2C210A56"/>
    <w:rsid w:val="2C5B55EB"/>
    <w:rsid w:val="2CDD4252"/>
    <w:rsid w:val="2D5A3218"/>
    <w:rsid w:val="2E334A71"/>
    <w:rsid w:val="2E4B3B69"/>
    <w:rsid w:val="2F176141"/>
    <w:rsid w:val="2F946722"/>
    <w:rsid w:val="2FE11968"/>
    <w:rsid w:val="2FFE2E5D"/>
    <w:rsid w:val="307153DD"/>
    <w:rsid w:val="30A25EDE"/>
    <w:rsid w:val="30C618C0"/>
    <w:rsid w:val="31102E48"/>
    <w:rsid w:val="3250601B"/>
    <w:rsid w:val="325823B4"/>
    <w:rsid w:val="340A6274"/>
    <w:rsid w:val="348F067B"/>
    <w:rsid w:val="34C74165"/>
    <w:rsid w:val="34FA1E45"/>
    <w:rsid w:val="34FD7B87"/>
    <w:rsid w:val="355C65C5"/>
    <w:rsid w:val="36C02C1A"/>
    <w:rsid w:val="37773C20"/>
    <w:rsid w:val="3825542A"/>
    <w:rsid w:val="382A0FCA"/>
    <w:rsid w:val="388B08B9"/>
    <w:rsid w:val="38EC419A"/>
    <w:rsid w:val="39320461"/>
    <w:rsid w:val="3A5779DD"/>
    <w:rsid w:val="3B0E0CB9"/>
    <w:rsid w:val="3B1F0857"/>
    <w:rsid w:val="3B3B31B7"/>
    <w:rsid w:val="3B4337C8"/>
    <w:rsid w:val="3BDE59A3"/>
    <w:rsid w:val="3BF770DE"/>
    <w:rsid w:val="3C320116"/>
    <w:rsid w:val="3D257C7B"/>
    <w:rsid w:val="3E704F26"/>
    <w:rsid w:val="3E990920"/>
    <w:rsid w:val="3F087854"/>
    <w:rsid w:val="3FBA6DA0"/>
    <w:rsid w:val="40B27A77"/>
    <w:rsid w:val="41140732"/>
    <w:rsid w:val="41526B64"/>
    <w:rsid w:val="41DB4DAC"/>
    <w:rsid w:val="42022619"/>
    <w:rsid w:val="42530DE6"/>
    <w:rsid w:val="425B7C9B"/>
    <w:rsid w:val="431C567C"/>
    <w:rsid w:val="43667CF1"/>
    <w:rsid w:val="43C875B2"/>
    <w:rsid w:val="440A3726"/>
    <w:rsid w:val="44A27E03"/>
    <w:rsid w:val="44B32010"/>
    <w:rsid w:val="451E392D"/>
    <w:rsid w:val="47215E9C"/>
    <w:rsid w:val="480A0199"/>
    <w:rsid w:val="484F2050"/>
    <w:rsid w:val="49171BB0"/>
    <w:rsid w:val="49690EEF"/>
    <w:rsid w:val="497D499A"/>
    <w:rsid w:val="4A437992"/>
    <w:rsid w:val="4A802994"/>
    <w:rsid w:val="4B6E4EE3"/>
    <w:rsid w:val="4B971D44"/>
    <w:rsid w:val="4C4C6FD2"/>
    <w:rsid w:val="4C997D3D"/>
    <w:rsid w:val="4D431DB1"/>
    <w:rsid w:val="4D5D0D6B"/>
    <w:rsid w:val="4E1E04FA"/>
    <w:rsid w:val="4EA12ED9"/>
    <w:rsid w:val="4F75445C"/>
    <w:rsid w:val="4FBC446F"/>
    <w:rsid w:val="4FCA4E64"/>
    <w:rsid w:val="4FF736F9"/>
    <w:rsid w:val="50CC06E1"/>
    <w:rsid w:val="51024103"/>
    <w:rsid w:val="5117392E"/>
    <w:rsid w:val="541E6A91"/>
    <w:rsid w:val="543C5B7E"/>
    <w:rsid w:val="544F3B03"/>
    <w:rsid w:val="54FB1595"/>
    <w:rsid w:val="55AF2380"/>
    <w:rsid w:val="55C37BD9"/>
    <w:rsid w:val="560E52F8"/>
    <w:rsid w:val="564725B8"/>
    <w:rsid w:val="56602508"/>
    <w:rsid w:val="56E428F6"/>
    <w:rsid w:val="57E24C8E"/>
    <w:rsid w:val="589870FB"/>
    <w:rsid w:val="58AB5080"/>
    <w:rsid w:val="59464DA9"/>
    <w:rsid w:val="5B651D3E"/>
    <w:rsid w:val="5BAA161F"/>
    <w:rsid w:val="5C4E644E"/>
    <w:rsid w:val="5D4810F0"/>
    <w:rsid w:val="5D680B0D"/>
    <w:rsid w:val="5D982E21"/>
    <w:rsid w:val="5DDE3802"/>
    <w:rsid w:val="5E3E6996"/>
    <w:rsid w:val="5EF534F9"/>
    <w:rsid w:val="5EF62DCD"/>
    <w:rsid w:val="5F3C5539"/>
    <w:rsid w:val="5F4922D1"/>
    <w:rsid w:val="60AE7AC6"/>
    <w:rsid w:val="612400C6"/>
    <w:rsid w:val="616E30EF"/>
    <w:rsid w:val="617701F5"/>
    <w:rsid w:val="61D133C9"/>
    <w:rsid w:val="62EA49F7"/>
    <w:rsid w:val="631D4DCC"/>
    <w:rsid w:val="6407185E"/>
    <w:rsid w:val="647B624F"/>
    <w:rsid w:val="66925AD1"/>
    <w:rsid w:val="66FB71D3"/>
    <w:rsid w:val="67283D40"/>
    <w:rsid w:val="6764746E"/>
    <w:rsid w:val="6796514D"/>
    <w:rsid w:val="687A05CB"/>
    <w:rsid w:val="68C33D20"/>
    <w:rsid w:val="692D1AE1"/>
    <w:rsid w:val="695A2928"/>
    <w:rsid w:val="69CA7330"/>
    <w:rsid w:val="6A1C5DDE"/>
    <w:rsid w:val="6B3C7DBA"/>
    <w:rsid w:val="6B59096C"/>
    <w:rsid w:val="6BFD1C3F"/>
    <w:rsid w:val="6C4E249B"/>
    <w:rsid w:val="6E775CD9"/>
    <w:rsid w:val="6F653D83"/>
    <w:rsid w:val="6F742218"/>
    <w:rsid w:val="70385218"/>
    <w:rsid w:val="70A26911"/>
    <w:rsid w:val="716563D9"/>
    <w:rsid w:val="71D62D16"/>
    <w:rsid w:val="72590931"/>
    <w:rsid w:val="731F249B"/>
    <w:rsid w:val="73B250BD"/>
    <w:rsid w:val="740718AD"/>
    <w:rsid w:val="7477055C"/>
    <w:rsid w:val="74B51309"/>
    <w:rsid w:val="759C6025"/>
    <w:rsid w:val="75AB4D25"/>
    <w:rsid w:val="76424E1E"/>
    <w:rsid w:val="767B3E8C"/>
    <w:rsid w:val="76B031E0"/>
    <w:rsid w:val="76FD6F97"/>
    <w:rsid w:val="774628B8"/>
    <w:rsid w:val="7772528F"/>
    <w:rsid w:val="77862AE9"/>
    <w:rsid w:val="77E617D9"/>
    <w:rsid w:val="78E33F6B"/>
    <w:rsid w:val="7A9E283F"/>
    <w:rsid w:val="7B045B68"/>
    <w:rsid w:val="7B046B46"/>
    <w:rsid w:val="7B4C229B"/>
    <w:rsid w:val="7B534958"/>
    <w:rsid w:val="7BED75DA"/>
    <w:rsid w:val="7C2C010B"/>
    <w:rsid w:val="7E2C3CBE"/>
    <w:rsid w:val="7E5F22E5"/>
    <w:rsid w:val="7F8A391F"/>
    <w:rsid w:val="7FFD1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4"/>
    <w:unhideWhenUsed/>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2"/>
    <w:basedOn w:val="1"/>
    <w:link w:val="19"/>
    <w:qFormat/>
    <w:uiPriority w:val="0"/>
    <w:pPr>
      <w:adjustRightInd w:val="0"/>
      <w:spacing w:after="120" w:line="480" w:lineRule="auto"/>
      <w:ind w:left="420"/>
      <w:textAlignment w:val="baseline"/>
    </w:pPr>
    <w:rPr>
      <w:kern w:val="0"/>
      <w:szCs w:val="20"/>
    </w:rPr>
  </w:style>
  <w:style w:type="paragraph" w:styleId="4">
    <w:name w:val="Balloon Text"/>
    <w:basedOn w:val="1"/>
    <w:link w:val="18"/>
    <w:semiHidden/>
    <w:unhideWhenUsed/>
    <w:qFormat/>
    <w:uiPriority w:val="99"/>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Emphasis"/>
    <w:basedOn w:val="10"/>
    <w:qFormat/>
    <w:uiPriority w:val="20"/>
    <w:rPr>
      <w:i/>
      <w:iCs/>
    </w:rPr>
  </w:style>
  <w:style w:type="character" w:styleId="13">
    <w:name w:val="Hyperlink"/>
    <w:basedOn w:val="10"/>
    <w:qFormat/>
    <w:uiPriority w:val="0"/>
    <w:rPr>
      <w:color w:val="0000FF"/>
      <w:u w:val="single"/>
    </w:rPr>
  </w:style>
  <w:style w:type="character" w:customStyle="1" w:styleId="14">
    <w:name w:val="标题 3 Char"/>
    <w:basedOn w:val="10"/>
    <w:link w:val="2"/>
    <w:qFormat/>
    <w:uiPriority w:val="9"/>
    <w:rPr>
      <w:rFonts w:ascii="宋体" w:hAnsi="宋体" w:eastAsia="宋体" w:cs="宋体"/>
      <w:b/>
      <w:bCs/>
      <w:sz w:val="27"/>
      <w:szCs w:val="27"/>
    </w:rPr>
  </w:style>
  <w:style w:type="character" w:customStyle="1" w:styleId="15">
    <w:name w:val="页脚 Char"/>
    <w:basedOn w:val="10"/>
    <w:link w:val="5"/>
    <w:qFormat/>
    <w:uiPriority w:val="0"/>
    <w:rPr>
      <w:rFonts w:ascii="Times New Roman" w:hAnsi="Times New Roman" w:eastAsia="宋体" w:cs="Times New Roman"/>
      <w:sz w:val="18"/>
      <w:szCs w:val="18"/>
    </w:rPr>
  </w:style>
  <w:style w:type="character" w:customStyle="1" w:styleId="16">
    <w:name w:val="页眉 Char"/>
    <w:basedOn w:val="10"/>
    <w:link w:val="6"/>
    <w:qFormat/>
    <w:uiPriority w:val="99"/>
    <w:rPr>
      <w:rFonts w:ascii="Times New Roman" w:hAnsi="Times New Roman" w:eastAsia="宋体" w:cs="Times New Roman"/>
      <w:sz w:val="18"/>
      <w:szCs w:val="18"/>
    </w:rPr>
  </w:style>
  <w:style w:type="paragraph" w:styleId="17">
    <w:name w:val="List Paragraph"/>
    <w:basedOn w:val="1"/>
    <w:qFormat/>
    <w:uiPriority w:val="34"/>
    <w:pPr>
      <w:ind w:firstLine="420" w:firstLineChars="200"/>
    </w:pPr>
  </w:style>
  <w:style w:type="character" w:customStyle="1" w:styleId="18">
    <w:name w:val="批注框文本 Char"/>
    <w:basedOn w:val="10"/>
    <w:link w:val="4"/>
    <w:semiHidden/>
    <w:qFormat/>
    <w:uiPriority w:val="99"/>
    <w:rPr>
      <w:rFonts w:ascii="Times New Roman" w:hAnsi="Times New Roman" w:eastAsia="宋体" w:cs="Times New Roman"/>
      <w:sz w:val="18"/>
      <w:szCs w:val="18"/>
    </w:rPr>
  </w:style>
  <w:style w:type="character" w:customStyle="1" w:styleId="19">
    <w:name w:val="正文文本缩进 2 Char"/>
    <w:basedOn w:val="10"/>
    <w:link w:val="3"/>
    <w:qFormat/>
    <w:uiPriority w:val="0"/>
    <w:rPr>
      <w:rFonts w:ascii="Times New Roman" w:hAnsi="Times New Roman" w:eastAsia="宋体" w:cs="Times New Roman"/>
      <w:sz w:val="21"/>
    </w:rPr>
  </w:style>
  <w:style w:type="paragraph" w:customStyle="1" w:styleId="20">
    <w:name w:val="Default"/>
    <w:qFormat/>
    <w:uiPriority w:val="0"/>
    <w:pPr>
      <w:widowControl w:val="0"/>
      <w:autoSpaceDE w:val="0"/>
      <w:autoSpaceDN w:val="0"/>
      <w:adjustRightInd w:val="0"/>
    </w:pPr>
    <w:rPr>
      <w:rFonts w:ascii="楷体_GB2312" w:hAnsi="Calibri" w:eastAsia="楷体_GB2312" w:cs="楷体_GB2312"/>
      <w:color w:val="000000"/>
      <w:sz w:val="24"/>
      <w:szCs w:val="24"/>
      <w:lang w:val="en-US" w:eastAsia="zh-CN" w:bidi="ar-SA"/>
    </w:rPr>
  </w:style>
  <w:style w:type="character" w:customStyle="1" w:styleId="21">
    <w:name w:val="font21"/>
    <w:basedOn w:val="10"/>
    <w:qFormat/>
    <w:uiPriority w:val="0"/>
    <w:rPr>
      <w:rFonts w:ascii="Arial" w:hAnsi="Arial" w:cs="Arial"/>
      <w:color w:val="000000"/>
      <w:sz w:val="20"/>
      <w:szCs w:val="20"/>
      <w:u w:val="none"/>
    </w:rPr>
  </w:style>
  <w:style w:type="character" w:customStyle="1" w:styleId="22">
    <w:name w:val="font11"/>
    <w:basedOn w:val="1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B263AB-7BCC-4E44-BCA5-98ADEA42B7F9}">
  <ds:schemaRefs/>
</ds:datastoreItem>
</file>

<file path=docProps/app.xml><?xml version="1.0" encoding="utf-8"?>
<Properties xmlns="http://schemas.openxmlformats.org/officeDocument/2006/extended-properties" xmlns:vt="http://schemas.openxmlformats.org/officeDocument/2006/docPropsVTypes">
  <Template>Normal</Template>
  <Company>qinghua2017.com</Company>
  <Pages>14</Pages>
  <Words>10438</Words>
  <Characters>10875</Characters>
  <Lines>80</Lines>
  <Paragraphs>22</Paragraphs>
  <TotalTime>7</TotalTime>
  <ScaleCrop>false</ScaleCrop>
  <LinksUpToDate>false</LinksUpToDate>
  <CharactersWithSpaces>10939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2021-05-20T07:19:00Z</dcterms:created>
  <dc:creator>qinghua2017.com</dc:creator>
  <cp:lastModifiedBy>767355642</cp:lastModifiedBy>
  <cp:lastPrinted>2021-04-19T08:09:00Z</cp:lastPrinted>
  <dcterms:modified xsi:type="dcterms:W3CDTF">2022-04-22T07:55:55Z</dcterms:modified>
  <cp:revision>953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B7DE0B0E2EE0495C9F135BEA7A9582AE</vt:lpwstr>
  </property>
  <property fmtid="{D5CDD505-2E9C-101B-9397-08002B2CF9AE}" pid="4" name="commondata">
    <vt:lpwstr>eyJoZGlkIjoiZWUyY2U0MzMyMjYwZThiYzEwZjUxZGJjNjM3ZjhkNGMifQ==</vt:lpwstr>
  </property>
</Properties>
</file>